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创艺简标宋" w:hAnsi="创艺简标宋" w:eastAsia="创艺简标宋" w:cs="创艺简标宋"/>
          <w:color w:val="auto"/>
          <w:sz w:val="44"/>
          <w:szCs w:val="44"/>
        </w:rPr>
      </w:pPr>
      <w:r>
        <w:rPr>
          <w:rFonts w:hint="eastAsia" w:ascii="创艺简标宋" w:hAnsi="创艺简标宋" w:eastAsia="创艺简标宋" w:cs="创艺简标宋"/>
          <w:color w:val="auto"/>
          <w:sz w:val="44"/>
          <w:szCs w:val="44"/>
        </w:rPr>
        <w:t>宁波国际航运物流产业集聚区发展专项</w:t>
      </w:r>
    </w:p>
    <w:p>
      <w:pPr>
        <w:spacing w:line="580" w:lineRule="exact"/>
        <w:jc w:val="center"/>
        <w:rPr>
          <w:rFonts w:hint="eastAsia" w:ascii="创艺简标宋" w:hAnsi="创艺简标宋" w:eastAsia="创艺简标宋" w:cs="创艺简标宋"/>
          <w:color w:val="auto"/>
          <w:sz w:val="44"/>
          <w:szCs w:val="44"/>
          <w:lang w:val="en-US" w:eastAsia="zh-CN"/>
        </w:rPr>
      </w:pPr>
      <w:r>
        <w:rPr>
          <w:rFonts w:hint="eastAsia" w:ascii="创艺简标宋" w:hAnsi="创艺简标宋" w:eastAsia="创艺简标宋" w:cs="创艺简标宋"/>
          <w:color w:val="auto"/>
          <w:sz w:val="44"/>
          <w:szCs w:val="44"/>
        </w:rPr>
        <w:t>资金管理办法</w:t>
      </w:r>
      <w:r>
        <w:rPr>
          <w:rFonts w:hint="eastAsia" w:ascii="创艺简标宋" w:hAnsi="创艺简标宋" w:eastAsia="创艺简标宋" w:cs="创艺简标宋"/>
          <w:color w:val="auto"/>
          <w:sz w:val="44"/>
          <w:szCs w:val="44"/>
          <w:lang w:eastAsia="zh-CN"/>
        </w:rPr>
        <w:t>（征求意见稿）</w:t>
      </w:r>
    </w:p>
    <w:p>
      <w:pPr>
        <w:spacing w:line="580" w:lineRule="exact"/>
        <w:ind w:firstLine="880" w:firstLineChars="200"/>
        <w:jc w:val="center"/>
        <w:rPr>
          <w:rFonts w:ascii="黑体" w:eastAsia="黑体"/>
          <w:color w:val="auto"/>
          <w:sz w:val="44"/>
          <w:szCs w:val="44"/>
        </w:rPr>
      </w:pPr>
    </w:p>
    <w:p>
      <w:pPr>
        <w:spacing w:line="580" w:lineRule="exact"/>
        <w:jc w:val="center"/>
        <w:rPr>
          <w:rFonts w:ascii="黑体" w:eastAsia="黑体"/>
          <w:color w:val="auto"/>
          <w:sz w:val="32"/>
          <w:szCs w:val="32"/>
        </w:rPr>
      </w:pPr>
      <w:r>
        <w:rPr>
          <w:rFonts w:hint="eastAsia" w:ascii="黑体" w:eastAsia="黑体"/>
          <w:color w:val="auto"/>
          <w:sz w:val="32"/>
          <w:szCs w:val="32"/>
        </w:rPr>
        <w:t>第一章</w:t>
      </w:r>
      <w:r>
        <w:rPr>
          <w:rFonts w:ascii="黑体" w:eastAsia="黑体"/>
          <w:color w:val="auto"/>
          <w:sz w:val="32"/>
          <w:szCs w:val="32"/>
        </w:rPr>
        <w:t xml:space="preserve">   </w:t>
      </w:r>
      <w:r>
        <w:rPr>
          <w:rFonts w:hint="eastAsia" w:ascii="黑体" w:eastAsia="黑体"/>
          <w:color w:val="auto"/>
          <w:sz w:val="32"/>
          <w:szCs w:val="32"/>
        </w:rPr>
        <w:t>总则</w:t>
      </w:r>
    </w:p>
    <w:p>
      <w:pPr>
        <w:spacing w:line="58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第一条</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 xml:space="preserve"> 根据《浙江省人民政府关于印发浙江省海洋经济发展“十四五”规划的通知》（浙政发</w:t>
      </w:r>
      <w:r>
        <w:rPr>
          <w:color w:val="auto"/>
        </w:rPr>
        <w:fldChar w:fldCharType="begin"/>
      </w:r>
      <w:r>
        <w:rPr>
          <w:color w:val="auto"/>
        </w:rPr>
        <w:instrText xml:space="preserve"> HYPERLINK "http://www.baidu.com/link?url=volRvOjv2A2pG6JItHVetAuK1fSm7ZmzaQp8eT-uCN0NdY2aqUZQT7qcnIqfoL4JT3xEoilotaqHV2gTOy2qr8RRs9VB2bLM-FgR29dwjzK" \t "https://www.baidu.com/_blank" </w:instrText>
      </w:r>
      <w:r>
        <w:rPr>
          <w:color w:val="auto"/>
        </w:rPr>
        <w:fldChar w:fldCharType="separate"/>
      </w:r>
      <w:r>
        <w:rPr>
          <w:rFonts w:hint="eastAsia" w:ascii="仿宋_GB2312" w:hAnsi="仿宋" w:eastAsia="仿宋_GB2312"/>
          <w:color w:val="auto"/>
          <w:sz w:val="32"/>
          <w:szCs w:val="32"/>
        </w:rPr>
        <w:t>〔2021〕</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12号）、《宁波市人民政府关于印发锻造硬核力量加快推进世界一流强港建设行动方案（2021-2025）》（甬政发</w:t>
      </w:r>
      <w:r>
        <w:rPr>
          <w:color w:val="auto"/>
        </w:rPr>
        <w:fldChar w:fldCharType="begin"/>
      </w:r>
      <w:r>
        <w:rPr>
          <w:color w:val="auto"/>
        </w:rPr>
        <w:instrText xml:space="preserve"> HYPERLINK "http://www.baidu.com/link?url=volRvOjv2A2pG6JItHVetAuK1fSm7ZmzaQp8eT-uCN0NdY2aqUZQT7qcnIqfoL4JT3xEoilotaqHV2gTOy2qr8RRs9VB2bLM-FgR29dwjzK" \t "https://www.baidu.com/_blank" </w:instrText>
      </w:r>
      <w:r>
        <w:rPr>
          <w:color w:val="auto"/>
        </w:rPr>
        <w:fldChar w:fldCharType="separate"/>
      </w:r>
      <w:r>
        <w:rPr>
          <w:rFonts w:hint="eastAsia" w:ascii="仿宋_GB2312" w:hAnsi="仿宋" w:eastAsia="仿宋_GB2312"/>
          <w:color w:val="auto"/>
          <w:sz w:val="32"/>
          <w:szCs w:val="32"/>
        </w:rPr>
        <w:t>〔2021〕</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50号）、《宁波市加快发展海洋经济建设全球海洋中心城市行动纲要（2021—2025年）》、《宁波市人民政府办公厅关于印发宁波市港航服务业补短板攻坚行动方案的通知》（甬政办发〔2021〕11号）</w:t>
      </w:r>
      <w:r>
        <w:rPr>
          <w:rFonts w:hint="eastAsia" w:ascii="仿宋_GB2312" w:hAnsi="仿宋_GB2312" w:eastAsia="仿宋_GB2312" w:cs="仿宋_GB2312"/>
          <w:color w:val="auto"/>
          <w:sz w:val="32"/>
          <w:szCs w:val="32"/>
        </w:rPr>
        <w:t>等</w:t>
      </w:r>
      <w:r>
        <w:rPr>
          <w:rFonts w:hint="eastAsia" w:ascii="仿宋_GB2312" w:hAnsi="仿宋" w:eastAsia="仿宋_GB2312"/>
          <w:color w:val="auto"/>
          <w:sz w:val="32"/>
          <w:szCs w:val="32"/>
        </w:rPr>
        <w:t>相关文件要求，为进一步巩固和扩大我市国际航运物流产业集聚区产业优势引领，加强航运物流产业总部集聚，推动宁波航运服务业倍增发展，提升宁波在国际航运市场的资源配置能力，</w:t>
      </w:r>
      <w:r>
        <w:rPr>
          <w:rFonts w:hint="eastAsia" w:ascii="仿宋_GB2312" w:eastAsia="仿宋_GB2312"/>
          <w:color w:val="auto"/>
          <w:sz w:val="32"/>
          <w:szCs w:val="32"/>
        </w:rPr>
        <w:t>设立宁波国际航运物流产业集聚区发展专项资金</w:t>
      </w:r>
      <w:r>
        <w:rPr>
          <w:rFonts w:ascii="仿宋_GB2312" w:eastAsia="仿宋_GB2312"/>
          <w:color w:val="auto"/>
          <w:sz w:val="32"/>
          <w:szCs w:val="32"/>
        </w:rPr>
        <w:t>(</w:t>
      </w:r>
      <w:r>
        <w:rPr>
          <w:rFonts w:hint="eastAsia" w:ascii="仿宋_GB2312" w:eastAsia="仿宋_GB2312"/>
          <w:color w:val="auto"/>
          <w:sz w:val="32"/>
          <w:szCs w:val="32"/>
        </w:rPr>
        <w:t>以下简称专项资金</w:t>
      </w:r>
      <w:r>
        <w:rPr>
          <w:rFonts w:ascii="仿宋_GB2312" w:eastAsia="仿宋_GB2312"/>
          <w:color w:val="auto"/>
          <w:sz w:val="32"/>
          <w:szCs w:val="32"/>
        </w:rPr>
        <w:t>)</w:t>
      </w:r>
      <w:r>
        <w:rPr>
          <w:rFonts w:hint="eastAsia" w:ascii="仿宋_GB2312" w:eastAsia="仿宋_GB2312"/>
          <w:color w:val="auto"/>
          <w:sz w:val="32"/>
          <w:szCs w:val="32"/>
        </w:rPr>
        <w:t>。为</w:t>
      </w:r>
      <w:r>
        <w:rPr>
          <w:rFonts w:hint="eastAsia" w:ascii="仿宋_GB2312" w:hAnsi="仿宋" w:eastAsia="仿宋_GB2312"/>
          <w:color w:val="auto"/>
          <w:sz w:val="32"/>
          <w:szCs w:val="32"/>
        </w:rPr>
        <w:t>规范专项资金使用管理，提高资金使用效率，特制订本办法。</w:t>
      </w:r>
    </w:p>
    <w:p>
      <w:pPr>
        <w:spacing w:line="58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第二条</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本办法所称专项资金，是指由市财政预算安排，专项用于我市国际航运物流产业集聚区企业扶持、产业招商、平台载体建设、服务业新业态模式培育等的资金。</w:t>
      </w:r>
    </w:p>
    <w:p>
      <w:pPr>
        <w:spacing w:line="58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第三条</w:t>
      </w:r>
      <w:r>
        <w:rPr>
          <w:rFonts w:ascii="仿宋_GB2312" w:hAnsi="仿宋" w:eastAsia="仿宋_GB2312"/>
          <w:color w:val="auto"/>
          <w:sz w:val="32"/>
          <w:szCs w:val="32"/>
        </w:rPr>
        <w:t xml:space="preserve">  </w:t>
      </w:r>
      <w:r>
        <w:rPr>
          <w:rFonts w:hint="eastAsia" w:ascii="仿宋_GB2312" w:hAnsi="仿宋" w:eastAsia="仿宋_GB2312"/>
          <w:color w:val="auto"/>
          <w:sz w:val="32"/>
          <w:szCs w:val="32"/>
        </w:rPr>
        <w:t>专项资金由市口岸办、市财政局根据职责分工各司其职，共同管理。市口岸办负责扶持项目的申报、审核、监管、绩效评估；市财政局负责资金的预算安排、下达及监督管理。</w:t>
      </w:r>
    </w:p>
    <w:p>
      <w:pPr>
        <w:spacing w:line="580" w:lineRule="exact"/>
        <w:ind w:firstLine="420" w:firstLineChars="200"/>
        <w:jc w:val="left"/>
        <w:rPr>
          <w:rFonts w:ascii="仿宋_GB2312" w:hAnsi="仿宋" w:eastAsia="仿宋_GB2312" w:cs="宋体"/>
          <w:color w:val="auto"/>
          <w:kern w:val="0"/>
          <w:sz w:val="32"/>
          <w:szCs w:val="32"/>
        </w:rPr>
      </w:pPr>
      <w:r>
        <w:rPr>
          <w:color w:val="auto"/>
        </w:rPr>
        <w:t xml:space="preserve">  </w:t>
      </w:r>
      <w:r>
        <w:rPr>
          <w:rFonts w:hint="eastAsia" w:ascii="仿宋_GB2312" w:hAnsi="仿宋" w:eastAsia="仿宋_GB2312"/>
          <w:color w:val="auto"/>
          <w:sz w:val="32"/>
          <w:szCs w:val="32"/>
        </w:rPr>
        <w:t>第四条</w:t>
      </w:r>
      <w:r>
        <w:rPr>
          <w:rFonts w:ascii="仿宋_GB2312" w:hAnsi="仿宋" w:eastAsia="仿宋_GB2312" w:cs="宋体"/>
          <w:color w:val="auto"/>
          <w:kern w:val="0"/>
          <w:sz w:val="32"/>
          <w:szCs w:val="32"/>
        </w:rPr>
        <w:t xml:space="preserve">  </w:t>
      </w:r>
      <w:r>
        <w:rPr>
          <w:rFonts w:hint="eastAsia" w:ascii="仿宋_GB2312" w:hAnsi="仿宋" w:eastAsia="仿宋_GB2312" w:cs="宋体"/>
          <w:color w:val="auto"/>
          <w:kern w:val="0"/>
          <w:sz w:val="32"/>
          <w:szCs w:val="32"/>
        </w:rPr>
        <w:t>专项资金的使用和管理</w:t>
      </w:r>
      <w:r>
        <w:rPr>
          <w:rFonts w:hint="eastAsia" w:ascii="仿宋_GB2312" w:hAnsi="宋体" w:eastAsia="仿宋_GB2312"/>
          <w:color w:val="auto"/>
          <w:sz w:val="32"/>
          <w:szCs w:val="32"/>
        </w:rPr>
        <w:t>坚持“公平公正、注重效益、规范流程、明确方向、产业导向、突出重点”的总体要求，</w:t>
      </w:r>
      <w:r>
        <w:rPr>
          <w:rFonts w:hint="eastAsia" w:ascii="仿宋_GB2312" w:hAnsi="仿宋" w:eastAsia="仿宋_GB2312" w:cs="宋体"/>
          <w:color w:val="auto"/>
          <w:kern w:val="0"/>
          <w:sz w:val="32"/>
          <w:szCs w:val="32"/>
        </w:rPr>
        <w:t>遵循公开、规范、绩效原则，资金分配使用按规定公示，接受公众监督。</w:t>
      </w:r>
    </w:p>
    <w:p>
      <w:pPr>
        <w:spacing w:line="580" w:lineRule="exact"/>
        <w:ind w:firstLine="640" w:firstLineChars="200"/>
        <w:jc w:val="left"/>
        <w:rPr>
          <w:rFonts w:ascii="仿宋_GB2312" w:hAnsi="仿宋" w:eastAsia="仿宋_GB2312" w:cs="宋体"/>
          <w:color w:val="auto"/>
          <w:kern w:val="0"/>
          <w:sz w:val="32"/>
          <w:szCs w:val="32"/>
        </w:rPr>
      </w:pPr>
    </w:p>
    <w:p>
      <w:pPr>
        <w:tabs>
          <w:tab w:val="left" w:pos="8280"/>
        </w:tabs>
        <w:spacing w:line="580" w:lineRule="exact"/>
        <w:jc w:val="center"/>
        <w:rPr>
          <w:rFonts w:ascii="黑体" w:hAnsi="宋体" w:eastAsia="黑体"/>
          <w:color w:val="auto"/>
          <w:sz w:val="32"/>
          <w:szCs w:val="32"/>
        </w:rPr>
      </w:pPr>
      <w:r>
        <w:rPr>
          <w:rFonts w:hint="eastAsia" w:ascii="黑体" w:hAnsi="宋体" w:eastAsia="黑体"/>
          <w:color w:val="auto"/>
          <w:sz w:val="32"/>
          <w:szCs w:val="32"/>
        </w:rPr>
        <w:t>第二章</w:t>
      </w:r>
      <w:r>
        <w:rPr>
          <w:rFonts w:ascii="黑体" w:hAnsi="宋体" w:eastAsia="黑体"/>
          <w:color w:val="auto"/>
          <w:sz w:val="32"/>
          <w:szCs w:val="32"/>
        </w:rPr>
        <w:t xml:space="preserve"> </w:t>
      </w:r>
      <w:r>
        <w:rPr>
          <w:rFonts w:hint="eastAsia" w:ascii="黑体" w:hAnsi="宋体" w:eastAsia="黑体"/>
          <w:color w:val="auto"/>
          <w:sz w:val="32"/>
          <w:szCs w:val="32"/>
        </w:rPr>
        <w:t>扶持对象和范围</w:t>
      </w:r>
    </w:p>
    <w:p>
      <w:pPr>
        <w:tabs>
          <w:tab w:val="left" w:pos="8280"/>
        </w:tabs>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第五条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专项资金扶持范围</w:t>
      </w:r>
    </w:p>
    <w:p>
      <w:pPr>
        <w:tabs>
          <w:tab w:val="left" w:pos="8280"/>
        </w:tabs>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（一）支持航运物流产业招商，积极发挥企业机构招商、行业协会招商、楼宇招商、以商引商的资源优势作用，</w:t>
      </w:r>
      <w:r>
        <w:rPr>
          <w:rFonts w:hint="eastAsia" w:ascii="仿宋_GB2312" w:hAnsi="宋体" w:eastAsia="仿宋_GB2312"/>
          <w:color w:val="auto"/>
          <w:sz w:val="32"/>
          <w:szCs w:val="32"/>
          <w:lang w:eastAsia="zh-CN"/>
        </w:rPr>
        <w:t>以加快发展高端航运服务业态、增强全球资源配置能力、提升航运服务业的影响力和话语权为导向，</w:t>
      </w:r>
      <w:r>
        <w:rPr>
          <w:rFonts w:hint="eastAsia" w:ascii="仿宋_GB2312" w:hAnsi="宋体" w:eastAsia="仿宋_GB2312"/>
          <w:color w:val="auto"/>
          <w:sz w:val="32"/>
          <w:szCs w:val="32"/>
        </w:rPr>
        <w:t>加快</w:t>
      </w:r>
      <w:r>
        <w:rPr>
          <w:rFonts w:hint="eastAsia" w:ascii="仿宋_GB2312" w:hAnsi="宋体" w:eastAsia="仿宋_GB2312"/>
          <w:color w:val="auto"/>
          <w:sz w:val="32"/>
          <w:szCs w:val="32"/>
          <w:lang w:eastAsia="zh-CN"/>
        </w:rPr>
        <w:t>招引</w:t>
      </w:r>
      <w:r>
        <w:rPr>
          <w:rFonts w:hint="eastAsia" w:ascii="仿宋_GB2312" w:hAnsi="宋体" w:eastAsia="仿宋_GB2312"/>
          <w:color w:val="auto"/>
          <w:sz w:val="32"/>
          <w:szCs w:val="32"/>
        </w:rPr>
        <w:t>国内外知名航运基础业</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航运辅助业</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航运衍生服务业各类总部</w:t>
      </w:r>
      <w:r>
        <w:rPr>
          <w:rFonts w:hint="eastAsia" w:ascii="仿宋_GB2312" w:hAnsi="宋体" w:eastAsia="仿宋_GB2312"/>
          <w:color w:val="auto"/>
          <w:sz w:val="32"/>
          <w:szCs w:val="32"/>
          <w:lang w:eastAsia="zh-CN"/>
        </w:rPr>
        <w:t>、分支及办事机构</w:t>
      </w:r>
      <w:r>
        <w:rPr>
          <w:rFonts w:hint="eastAsia" w:ascii="仿宋_GB2312" w:hAnsi="宋体" w:eastAsia="仿宋_GB2312"/>
          <w:color w:val="auto"/>
          <w:sz w:val="32"/>
          <w:szCs w:val="32"/>
        </w:rPr>
        <w:t>落户集聚区，鼓励集聚区内现有企业机构提升规格及服务能级；</w:t>
      </w:r>
    </w:p>
    <w:p>
      <w:pPr>
        <w:tabs>
          <w:tab w:val="left" w:pos="8280"/>
        </w:tabs>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（二）支持航运物流相关人才的培养建设，鼓励航运物流企业协会自主或与已授牌航运人才基地的高校合作开展航运物流人才培训，积极引进市外优秀航运及复合型人才和团队；</w:t>
      </w:r>
    </w:p>
    <w:p>
      <w:pPr>
        <w:tabs>
          <w:tab w:val="left" w:pos="8280"/>
        </w:tabs>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三）支持航运物流产业培育，鼓励举办国际型产业交易会、产业对接会、产业推介会、航运高端论坛、航运沙龙等活动，开展航运集聚区特色宣传，培育我市航运产业集群，提升国际航运物流产业集聚区发展能级，促进我市航运服务业价值链提升；</w:t>
      </w:r>
    </w:p>
    <w:p>
      <w:pPr>
        <w:tabs>
          <w:tab w:val="left" w:pos="8280"/>
        </w:tabs>
        <w:spacing w:line="58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rPr>
        <w:t>（四）支持航运物流产业规划，开展口岸产业综合研究，制订评价口岸产业发展的经济指标体系和常态化动态监测分析体系，开展航运集聚区综合数智平台建设运维，编制航运集聚区产业集群发展规划，为航运集聚区发展提供思路、目标及行动计划</w:t>
      </w:r>
      <w:r>
        <w:rPr>
          <w:rFonts w:hint="eastAsia" w:ascii="仿宋_GB2312" w:hAnsi="宋体" w:eastAsia="仿宋_GB2312"/>
          <w:color w:val="auto"/>
          <w:sz w:val="32"/>
          <w:szCs w:val="32"/>
          <w:lang w:eastAsia="zh-CN"/>
        </w:rPr>
        <w:t>；</w:t>
      </w:r>
    </w:p>
    <w:p>
      <w:pPr>
        <w:tabs>
          <w:tab w:val="left" w:pos="8280"/>
        </w:tabs>
        <w:spacing w:line="58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上述人才培训，展会、会议（论坛）</w:t>
      </w:r>
      <w:r>
        <w:rPr>
          <w:rFonts w:hint="eastAsia" w:ascii="仿宋_GB2312" w:hAnsi="宋体" w:eastAsia="仿宋_GB2312"/>
          <w:color w:val="auto"/>
          <w:sz w:val="32"/>
          <w:szCs w:val="32"/>
          <w:lang w:eastAsia="zh-CN"/>
        </w:rPr>
        <w:t>等活动</w:t>
      </w:r>
      <w:r>
        <w:rPr>
          <w:rFonts w:hint="eastAsia" w:ascii="仿宋_GB2312" w:hAnsi="宋体" w:eastAsia="仿宋_GB2312"/>
          <w:color w:val="auto"/>
          <w:sz w:val="32"/>
          <w:szCs w:val="32"/>
        </w:rPr>
        <w:t>举办、</w:t>
      </w:r>
      <w:r>
        <w:rPr>
          <w:rFonts w:hint="eastAsia" w:ascii="仿宋_GB2312" w:hAnsi="宋体" w:eastAsia="仿宋_GB2312"/>
          <w:color w:val="auto"/>
          <w:sz w:val="32"/>
          <w:szCs w:val="32"/>
          <w:lang w:eastAsia="zh-CN"/>
        </w:rPr>
        <w:t>宣传</w:t>
      </w:r>
      <w:r>
        <w:rPr>
          <w:rFonts w:hint="eastAsia" w:ascii="仿宋_GB2312" w:hAnsi="宋体" w:eastAsia="仿宋_GB2312"/>
          <w:color w:val="auto"/>
          <w:sz w:val="32"/>
          <w:szCs w:val="32"/>
        </w:rPr>
        <w:t>航运集聚区综合数智平台建设运维、航运集聚区产业规划等业务根据政府购买服务的相关要求进行。</w:t>
      </w:r>
    </w:p>
    <w:p>
      <w:pPr>
        <w:numPr>
          <w:ilvl w:val="0"/>
          <w:numId w:val="1"/>
        </w:numPr>
        <w:tabs>
          <w:tab w:val="left" w:pos="8280"/>
        </w:tabs>
        <w:spacing w:line="580" w:lineRule="exact"/>
        <w:ind w:firstLine="640" w:firstLineChars="200"/>
        <w:rPr>
          <w:rFonts w:ascii="仿宋_GB2312" w:hAnsi="宋体" w:eastAsia="仿宋_GB2312"/>
          <w:color w:val="auto"/>
          <w:sz w:val="32"/>
          <w:szCs w:val="32"/>
        </w:rPr>
      </w:pPr>
      <w:r>
        <w:rPr>
          <w:rFonts w:ascii="仿宋_GB2312" w:hAnsi="宋体" w:eastAsia="仿宋_GB2312"/>
          <w:color w:val="auto"/>
          <w:sz w:val="32"/>
          <w:szCs w:val="32"/>
        </w:rPr>
        <w:t xml:space="preserve"> </w:t>
      </w:r>
      <w:r>
        <w:rPr>
          <w:rFonts w:hint="eastAsia" w:ascii="仿宋_GB2312" w:hAnsi="宋体" w:eastAsia="仿宋_GB2312"/>
          <w:color w:val="auto"/>
          <w:sz w:val="32"/>
          <w:szCs w:val="32"/>
        </w:rPr>
        <w:t>专项资金支持对象</w:t>
      </w:r>
    </w:p>
    <w:p>
      <w:pPr>
        <w:tabs>
          <w:tab w:val="left" w:pos="8280"/>
        </w:tabs>
        <w:spacing w:line="580" w:lineRule="exact"/>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eastAsia="zh-CN"/>
        </w:rPr>
        <w:t>（一）</w:t>
      </w:r>
      <w:r>
        <w:rPr>
          <w:rFonts w:hint="eastAsia" w:ascii="仿宋_GB2312" w:hAnsi="宋体" w:eastAsia="仿宋_GB2312"/>
          <w:color w:val="auto"/>
          <w:sz w:val="32"/>
          <w:szCs w:val="32"/>
        </w:rPr>
        <w:t>宁波国际航运物流产业集聚区（西至甬新河、东至承源路地理轴线、北至民安东路、南至中山东路的区域范围）及拓展区内在我市依法登记注册、依法纳税经营、财务制度健全、诚信记录良好的航运物流业总部类企业（机构）及分支机构以及国内外知名航运服务企业（机构）、协会组织、特色院校等设立的办事机构（办事处、代表处、联络处等）</w:t>
      </w:r>
      <w:r>
        <w:rPr>
          <w:rFonts w:hint="eastAsia" w:ascii="仿宋_GB2312" w:hAnsi="宋体" w:eastAsia="仿宋_GB2312"/>
          <w:color w:val="auto"/>
          <w:sz w:val="32"/>
          <w:szCs w:val="32"/>
          <w:lang w:eastAsia="zh-CN"/>
        </w:rPr>
        <w:t>；</w:t>
      </w:r>
    </w:p>
    <w:p>
      <w:pPr>
        <w:tabs>
          <w:tab w:val="left" w:pos="8280"/>
        </w:tabs>
        <w:spacing w:line="58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（二）积极开展航运相关企业（机构）招引工作、</w:t>
      </w:r>
      <w:bookmarkStart w:id="1" w:name="_GoBack"/>
      <w:bookmarkEnd w:id="1"/>
      <w:r>
        <w:rPr>
          <w:rFonts w:hint="eastAsia" w:ascii="仿宋_GB2312" w:hAnsi="宋体" w:eastAsia="仿宋_GB2312"/>
          <w:color w:val="auto"/>
          <w:sz w:val="32"/>
          <w:szCs w:val="32"/>
          <w:lang w:eastAsia="zh-CN"/>
        </w:rPr>
        <w:t>促成符合本办法所列资质条件的企业（机构）落户集聚区（含拓展区）的各类招商中介；</w:t>
      </w:r>
    </w:p>
    <w:p>
      <w:pPr>
        <w:tabs>
          <w:tab w:val="left" w:pos="8280"/>
        </w:tabs>
        <w:spacing w:line="58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（三）推动符合本办法所列资质条件的企业（机构）入驻的集聚区（含拓展区）内楼宇主要运营单位。</w:t>
      </w:r>
    </w:p>
    <w:p>
      <w:pPr>
        <w:tabs>
          <w:tab w:val="left" w:pos="8280"/>
        </w:tabs>
        <w:spacing w:line="560" w:lineRule="exact"/>
        <w:jc w:val="center"/>
        <w:rPr>
          <w:rFonts w:ascii="黑体" w:hAnsi="宋体" w:eastAsia="黑体"/>
          <w:color w:val="auto"/>
          <w:sz w:val="32"/>
          <w:szCs w:val="32"/>
        </w:rPr>
      </w:pPr>
    </w:p>
    <w:p>
      <w:pPr>
        <w:tabs>
          <w:tab w:val="left" w:pos="8280"/>
        </w:tabs>
        <w:spacing w:line="560" w:lineRule="exact"/>
        <w:jc w:val="center"/>
        <w:rPr>
          <w:rFonts w:hint="eastAsia" w:ascii="黑体" w:hAnsi="宋体" w:eastAsia="黑体"/>
          <w:color w:val="auto"/>
          <w:sz w:val="32"/>
          <w:szCs w:val="32"/>
          <w:lang w:val="en-US" w:eastAsia="zh-CN"/>
        </w:rPr>
      </w:pPr>
      <w:r>
        <w:rPr>
          <w:rFonts w:hint="eastAsia" w:ascii="黑体" w:hAnsi="宋体" w:eastAsia="黑体"/>
          <w:color w:val="auto"/>
          <w:sz w:val="32"/>
          <w:szCs w:val="32"/>
        </w:rPr>
        <w:t>第三章</w:t>
      </w:r>
      <w:r>
        <w:rPr>
          <w:rFonts w:ascii="黑体" w:hAnsi="宋体" w:eastAsia="黑体"/>
          <w:color w:val="auto"/>
          <w:sz w:val="32"/>
          <w:szCs w:val="32"/>
        </w:rPr>
        <w:t xml:space="preserve"> </w:t>
      </w:r>
      <w:r>
        <w:rPr>
          <w:rFonts w:hint="eastAsia" w:ascii="黑体" w:hAnsi="宋体" w:eastAsia="黑体"/>
          <w:color w:val="auto"/>
          <w:sz w:val="32"/>
          <w:szCs w:val="32"/>
          <w:lang w:eastAsia="zh-CN"/>
        </w:rPr>
        <w:t>使用内容</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第七条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大力引进航运基础业机构。</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对上年度从市外引进或在本市新设立，</w:t>
      </w:r>
      <w:r>
        <w:rPr>
          <w:rFonts w:hint="eastAsia" w:ascii="仿宋_GB2312" w:hAnsi="宋体" w:eastAsia="仿宋_GB2312"/>
          <w:color w:val="auto"/>
          <w:sz w:val="32"/>
          <w:szCs w:val="32"/>
          <w:lang w:eastAsia="zh-CN"/>
        </w:rPr>
        <w:t>于政策申报当年</w:t>
      </w:r>
      <w:r>
        <w:rPr>
          <w:rFonts w:hint="eastAsia" w:ascii="仿宋_GB2312" w:hAnsi="宋体" w:eastAsia="仿宋_GB2312"/>
          <w:color w:val="auto"/>
          <w:sz w:val="32"/>
          <w:szCs w:val="32"/>
          <w:lang w:val="en-US" w:eastAsia="zh-CN"/>
        </w:rPr>
        <w:t>12月31日前</w:t>
      </w:r>
      <w:r>
        <w:rPr>
          <w:rFonts w:hint="eastAsia" w:ascii="仿宋_GB2312" w:hAnsi="宋体" w:eastAsia="仿宋_GB2312"/>
          <w:color w:val="auto"/>
          <w:sz w:val="32"/>
          <w:szCs w:val="32"/>
        </w:rPr>
        <w:t>落户集聚区（含拓展区）内，且在宁波实际开展国际航线运营的班轮公司、干散货运输公司、油气运输公司等船舶运输企业各类总部，经认定，给予一次性最高</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rPr>
        <w:t>万元落户奖励。</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对上年度从市外引进或在本市新设立，</w:t>
      </w:r>
      <w:r>
        <w:rPr>
          <w:rFonts w:hint="eastAsia" w:ascii="仿宋_GB2312" w:hAnsi="宋体" w:eastAsia="仿宋_GB2312"/>
          <w:color w:val="auto"/>
          <w:sz w:val="32"/>
          <w:szCs w:val="32"/>
          <w:lang w:eastAsia="zh-CN"/>
        </w:rPr>
        <w:t>于政策申报当年</w:t>
      </w:r>
      <w:r>
        <w:rPr>
          <w:rFonts w:hint="eastAsia" w:ascii="仿宋_GB2312" w:hAnsi="宋体" w:eastAsia="仿宋_GB2312"/>
          <w:color w:val="auto"/>
          <w:sz w:val="32"/>
          <w:szCs w:val="32"/>
          <w:lang w:val="en-US" w:eastAsia="zh-CN"/>
        </w:rPr>
        <w:t>12月31日前</w:t>
      </w:r>
      <w:r>
        <w:rPr>
          <w:rFonts w:hint="eastAsia" w:ascii="仿宋_GB2312" w:hAnsi="宋体" w:eastAsia="仿宋_GB2312"/>
          <w:color w:val="auto"/>
          <w:sz w:val="32"/>
          <w:szCs w:val="32"/>
        </w:rPr>
        <w:t>落户集聚区（含拓展区）内,符合国内外细分市场排名要求且在宁波实际开展国际航线运营的班轮公司、干散货运输公司、油气运输公司等船舶运输企业分支机构，经认定，给予落户</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。其中，排名居国际细分市场前20强（含20强）的，给予一次性最高60万元</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；排名居国际细分市场20强至50强（含50强）的，给予一次性最高40万元</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；排名居国内细分市场前10强（含10强）的，给予一次性最高20万元</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上述所有企业（机构）</w:t>
      </w:r>
      <w:r>
        <w:rPr>
          <w:rFonts w:hint="eastAsia" w:ascii="仿宋_GB2312" w:hAnsi="宋体" w:eastAsia="仿宋_GB2312"/>
          <w:color w:val="auto"/>
          <w:sz w:val="32"/>
          <w:szCs w:val="32"/>
          <w:lang w:eastAsia="zh-CN"/>
        </w:rPr>
        <w:t>自本市注册之日起至政策申报当年</w:t>
      </w:r>
      <w:r>
        <w:rPr>
          <w:rFonts w:hint="eastAsia" w:ascii="仿宋_GB2312" w:hAnsi="宋体" w:eastAsia="仿宋_GB2312"/>
          <w:color w:val="auto"/>
          <w:sz w:val="32"/>
          <w:szCs w:val="32"/>
          <w:lang w:val="en-US" w:eastAsia="zh-CN"/>
        </w:rPr>
        <w:t>12月31日前</w:t>
      </w:r>
      <w:r>
        <w:rPr>
          <w:rFonts w:hint="eastAsia" w:ascii="仿宋_GB2312" w:hAnsi="宋体" w:eastAsia="仿宋_GB2312"/>
          <w:color w:val="auto"/>
          <w:sz w:val="32"/>
          <w:szCs w:val="32"/>
        </w:rPr>
        <w:t>需在本市纳税（增值税或企业所得税），未纳税的奖励金额在原额度基础上减半。</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第八条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积极引进航运辅助业及航运衍生服务业机构。</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对上年度从市外引进或在本市新设立，</w:t>
      </w:r>
      <w:r>
        <w:rPr>
          <w:rFonts w:hint="eastAsia" w:ascii="仿宋_GB2312" w:hAnsi="宋体" w:eastAsia="仿宋_GB2312"/>
          <w:color w:val="auto"/>
          <w:sz w:val="32"/>
          <w:szCs w:val="32"/>
          <w:lang w:eastAsia="zh-CN"/>
        </w:rPr>
        <w:t>于政策申报当年</w:t>
      </w:r>
      <w:r>
        <w:rPr>
          <w:rFonts w:hint="eastAsia" w:ascii="仿宋_GB2312" w:hAnsi="宋体" w:eastAsia="仿宋_GB2312"/>
          <w:color w:val="auto"/>
          <w:sz w:val="32"/>
          <w:szCs w:val="32"/>
          <w:lang w:val="en-US" w:eastAsia="zh-CN"/>
        </w:rPr>
        <w:t>12月31日前</w:t>
      </w:r>
      <w:r>
        <w:rPr>
          <w:rFonts w:hint="eastAsia" w:ascii="仿宋_GB2312" w:hAnsi="宋体" w:eastAsia="仿宋_GB2312"/>
          <w:color w:val="auto"/>
          <w:sz w:val="32"/>
          <w:szCs w:val="32"/>
        </w:rPr>
        <w:t>落户集聚区（含拓展区）内的航运辅助业及航运衍生服务业企业（机构）</w:t>
      </w:r>
      <w:r>
        <w:rPr>
          <w:rFonts w:hint="eastAsia" w:ascii="仿宋_GB2312" w:hAnsi="宋体" w:eastAsia="仿宋_GB2312"/>
          <w:color w:val="auto"/>
          <w:sz w:val="32"/>
          <w:szCs w:val="32"/>
          <w:lang w:eastAsia="zh-CN"/>
        </w:rPr>
        <w:t>，经认定，</w:t>
      </w:r>
      <w:r>
        <w:rPr>
          <w:rFonts w:hint="eastAsia" w:ascii="仿宋_GB2312" w:hAnsi="宋体" w:eastAsia="仿宋_GB2312"/>
          <w:color w:val="auto"/>
          <w:sz w:val="32"/>
          <w:szCs w:val="32"/>
        </w:rPr>
        <w:t>给予落户奖励。该类别主要包括船舶设计、船舶登记、船舶管理、船舶检验、航运物流、航运经纪、航运交易、航运金融、航运保险、航运电商平台、航运信息、海事仲裁与法律、航运教育与培训等。</w:t>
      </w:r>
    </w:p>
    <w:p>
      <w:pPr>
        <w:tabs>
          <w:tab w:val="left" w:pos="8280"/>
        </w:tabs>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对符合国内外细分市场排名要求</w:t>
      </w:r>
      <w:r>
        <w:rPr>
          <w:rFonts w:hint="eastAsia" w:ascii="仿宋_GB2312" w:hAnsi="宋体" w:eastAsia="仿宋_GB2312"/>
          <w:color w:val="auto"/>
          <w:sz w:val="32"/>
          <w:szCs w:val="32"/>
          <w:lang w:eastAsia="zh-CN"/>
        </w:rPr>
        <w:t>的</w:t>
      </w:r>
      <w:r>
        <w:rPr>
          <w:rFonts w:hint="eastAsia" w:ascii="仿宋_GB2312" w:hAnsi="宋体" w:eastAsia="仿宋_GB2312"/>
          <w:color w:val="auto"/>
          <w:sz w:val="32"/>
          <w:szCs w:val="32"/>
        </w:rPr>
        <w:t>各类总部，排名居国际细分市场前</w:t>
      </w:r>
      <w:r>
        <w:rPr>
          <w:rFonts w:ascii="仿宋_GB2312" w:hAnsi="宋体" w:eastAsia="仿宋_GB2312"/>
          <w:color w:val="auto"/>
          <w:sz w:val="32"/>
          <w:szCs w:val="32"/>
        </w:rPr>
        <w:t>20</w:t>
      </w:r>
      <w:r>
        <w:rPr>
          <w:rFonts w:hint="eastAsia" w:ascii="仿宋_GB2312" w:hAnsi="宋体" w:eastAsia="仿宋_GB2312"/>
          <w:color w:val="auto"/>
          <w:sz w:val="32"/>
          <w:szCs w:val="32"/>
        </w:rPr>
        <w:t>强（含20强）的，给予一次性最高</w:t>
      </w:r>
      <w:r>
        <w:rPr>
          <w:rFonts w:hint="eastAsia" w:ascii="仿宋_GB2312" w:hAnsi="宋体" w:eastAsia="仿宋_GB2312"/>
          <w:color w:val="auto"/>
          <w:sz w:val="32"/>
          <w:szCs w:val="32"/>
          <w:lang w:val="en-US" w:eastAsia="zh-CN"/>
        </w:rPr>
        <w:t>80</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；排名居国际细分市场</w:t>
      </w:r>
      <w:r>
        <w:rPr>
          <w:rFonts w:ascii="仿宋_GB2312" w:hAnsi="宋体" w:eastAsia="仿宋_GB2312"/>
          <w:color w:val="auto"/>
          <w:sz w:val="32"/>
          <w:szCs w:val="32"/>
        </w:rPr>
        <w:t>20</w:t>
      </w:r>
      <w:r>
        <w:rPr>
          <w:rFonts w:hint="eastAsia" w:ascii="仿宋_GB2312" w:hAnsi="宋体" w:eastAsia="仿宋_GB2312"/>
          <w:color w:val="auto"/>
          <w:sz w:val="32"/>
          <w:szCs w:val="32"/>
        </w:rPr>
        <w:t>强至50强（含50强）的，给予一次性最高</w:t>
      </w:r>
      <w:r>
        <w:rPr>
          <w:rFonts w:hint="eastAsia" w:ascii="仿宋_GB2312" w:hAnsi="宋体" w:eastAsia="仿宋_GB2312"/>
          <w:color w:val="auto"/>
          <w:sz w:val="32"/>
          <w:szCs w:val="32"/>
          <w:lang w:val="en-US" w:eastAsia="zh-CN"/>
        </w:rPr>
        <w:t>60</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；无法提供细分市场排名的</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给予一次性最高</w:t>
      </w:r>
      <w:r>
        <w:rPr>
          <w:rFonts w:hint="eastAsia" w:ascii="仿宋_GB2312" w:hAnsi="宋体" w:eastAsia="仿宋_GB2312"/>
          <w:color w:val="auto"/>
          <w:sz w:val="32"/>
          <w:szCs w:val="32"/>
          <w:lang w:val="en-US" w:eastAsia="zh-CN"/>
        </w:rPr>
        <w:t>40</w:t>
      </w:r>
      <w:r>
        <w:rPr>
          <w:rFonts w:hint="eastAsia" w:ascii="仿宋_GB2312" w:hAnsi="宋体" w:eastAsia="仿宋_GB2312"/>
          <w:color w:val="auto"/>
          <w:sz w:val="32"/>
          <w:szCs w:val="32"/>
        </w:rPr>
        <w:t>万元落户</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对符合国内外细分市场排名要求</w:t>
      </w:r>
      <w:r>
        <w:rPr>
          <w:rFonts w:hint="eastAsia" w:ascii="仿宋_GB2312" w:hAnsi="宋体" w:eastAsia="仿宋_GB2312"/>
          <w:color w:val="auto"/>
          <w:sz w:val="32"/>
          <w:szCs w:val="32"/>
          <w:lang w:eastAsia="zh-CN"/>
        </w:rPr>
        <w:t>的分支机构</w:t>
      </w:r>
      <w:r>
        <w:rPr>
          <w:rFonts w:hint="eastAsia" w:ascii="仿宋_GB2312" w:hAnsi="宋体" w:eastAsia="仿宋_GB2312"/>
          <w:color w:val="auto"/>
          <w:sz w:val="32"/>
          <w:szCs w:val="32"/>
        </w:rPr>
        <w:t>，排名居国际细分市场前</w:t>
      </w:r>
      <w:r>
        <w:rPr>
          <w:rFonts w:ascii="仿宋_GB2312" w:hAnsi="宋体" w:eastAsia="仿宋_GB2312"/>
          <w:color w:val="auto"/>
          <w:sz w:val="32"/>
          <w:szCs w:val="32"/>
        </w:rPr>
        <w:t>20</w:t>
      </w:r>
      <w:r>
        <w:rPr>
          <w:rFonts w:hint="eastAsia" w:ascii="仿宋_GB2312" w:hAnsi="宋体" w:eastAsia="仿宋_GB2312"/>
          <w:color w:val="auto"/>
          <w:sz w:val="32"/>
          <w:szCs w:val="32"/>
        </w:rPr>
        <w:t>强（含20强）的，给予一次性最高</w:t>
      </w:r>
      <w:r>
        <w:rPr>
          <w:rFonts w:hint="eastAsia" w:ascii="仿宋_GB2312" w:hAnsi="宋体" w:eastAsia="仿宋_GB2312"/>
          <w:color w:val="auto"/>
          <w:sz w:val="32"/>
          <w:szCs w:val="32"/>
          <w:lang w:val="en-US" w:eastAsia="zh-CN"/>
        </w:rPr>
        <w:t>60</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；排名居国际细分市场</w:t>
      </w:r>
      <w:r>
        <w:rPr>
          <w:rFonts w:ascii="仿宋_GB2312" w:hAnsi="宋体" w:eastAsia="仿宋_GB2312"/>
          <w:color w:val="auto"/>
          <w:sz w:val="32"/>
          <w:szCs w:val="32"/>
        </w:rPr>
        <w:t>20</w:t>
      </w:r>
      <w:r>
        <w:rPr>
          <w:rFonts w:hint="eastAsia" w:ascii="仿宋_GB2312" w:hAnsi="宋体" w:eastAsia="仿宋_GB2312"/>
          <w:color w:val="auto"/>
          <w:sz w:val="32"/>
          <w:szCs w:val="32"/>
        </w:rPr>
        <w:t>强至50强（含50强）的，给予一次性最高</w:t>
      </w:r>
      <w:r>
        <w:rPr>
          <w:rFonts w:hint="eastAsia" w:ascii="仿宋_GB2312" w:hAnsi="宋体" w:eastAsia="仿宋_GB2312"/>
          <w:color w:val="auto"/>
          <w:sz w:val="32"/>
          <w:szCs w:val="32"/>
          <w:lang w:val="en-US" w:eastAsia="zh-CN"/>
        </w:rPr>
        <w:t>40</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；排名居国内细分市场前</w:t>
      </w:r>
      <w:r>
        <w:rPr>
          <w:rFonts w:ascii="仿宋_GB2312" w:hAnsi="宋体" w:eastAsia="仿宋_GB2312"/>
          <w:color w:val="auto"/>
          <w:sz w:val="32"/>
          <w:szCs w:val="32"/>
        </w:rPr>
        <w:t>10</w:t>
      </w:r>
      <w:r>
        <w:rPr>
          <w:rFonts w:hint="eastAsia" w:ascii="仿宋_GB2312" w:hAnsi="宋体" w:eastAsia="仿宋_GB2312"/>
          <w:color w:val="auto"/>
          <w:sz w:val="32"/>
          <w:szCs w:val="32"/>
        </w:rPr>
        <w:t>强（含10强）的，给予一次性最高</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万元的</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w:t>
      </w:r>
    </w:p>
    <w:p>
      <w:pPr>
        <w:tabs>
          <w:tab w:val="left" w:pos="8280"/>
        </w:tabs>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上述所有企业（机构）</w:t>
      </w:r>
      <w:r>
        <w:rPr>
          <w:rFonts w:hint="eastAsia" w:ascii="仿宋_GB2312" w:hAnsi="宋体" w:eastAsia="仿宋_GB2312"/>
          <w:color w:val="auto"/>
          <w:sz w:val="32"/>
          <w:szCs w:val="32"/>
          <w:lang w:eastAsia="zh-CN"/>
        </w:rPr>
        <w:t>自本市注册之日起至政策申报当年</w:t>
      </w:r>
      <w:r>
        <w:rPr>
          <w:rFonts w:hint="eastAsia" w:ascii="仿宋_GB2312" w:hAnsi="宋体" w:eastAsia="仿宋_GB2312"/>
          <w:color w:val="auto"/>
          <w:sz w:val="32"/>
          <w:szCs w:val="32"/>
          <w:lang w:val="en-US" w:eastAsia="zh-CN"/>
        </w:rPr>
        <w:t>12月31日前</w:t>
      </w:r>
      <w:r>
        <w:rPr>
          <w:rFonts w:hint="eastAsia" w:ascii="仿宋_GB2312" w:hAnsi="宋体" w:eastAsia="仿宋_GB2312"/>
          <w:color w:val="auto"/>
          <w:sz w:val="32"/>
          <w:szCs w:val="32"/>
        </w:rPr>
        <w:t>需在本市纳税（增值税或企业所得税），未纳税的奖励金额在原额度基础上减半。</w:t>
      </w:r>
    </w:p>
    <w:p>
      <w:pPr>
        <w:tabs>
          <w:tab w:val="left" w:pos="8280"/>
        </w:tabs>
        <w:spacing w:line="560" w:lineRule="exact"/>
        <w:ind w:firstLine="640" w:firstLineChars="200"/>
        <w:rPr>
          <w:rFonts w:ascii="仿宋_GB2312" w:hAnsi="宋体" w:eastAsia="仿宋_GB2312"/>
          <w:color w:val="auto"/>
          <w:sz w:val="32"/>
          <w:szCs w:val="32"/>
        </w:rPr>
      </w:pPr>
      <w:r>
        <w:rPr>
          <w:rFonts w:hint="eastAsia" w:ascii="仿宋_GB2312" w:hAnsi="宋体" w:eastAsia="仿宋_GB2312"/>
          <w:color w:val="auto"/>
          <w:sz w:val="32"/>
          <w:szCs w:val="32"/>
        </w:rPr>
        <w:t>第九条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积极引进航运辅助业及航运衍生服务业相关办事机构（办事处、代表处、联络处等）。对上年度从市外引进、</w:t>
      </w:r>
      <w:r>
        <w:rPr>
          <w:rFonts w:hint="eastAsia" w:ascii="仿宋_GB2312" w:hAnsi="宋体" w:eastAsia="仿宋_GB2312"/>
          <w:color w:val="auto"/>
          <w:sz w:val="32"/>
          <w:szCs w:val="32"/>
          <w:lang w:eastAsia="zh-CN"/>
        </w:rPr>
        <w:t>于政策申报当年</w:t>
      </w:r>
      <w:r>
        <w:rPr>
          <w:rFonts w:hint="eastAsia" w:ascii="仿宋_GB2312" w:hAnsi="宋体" w:eastAsia="仿宋_GB2312"/>
          <w:color w:val="auto"/>
          <w:sz w:val="32"/>
          <w:szCs w:val="32"/>
          <w:lang w:val="en-US" w:eastAsia="zh-CN"/>
        </w:rPr>
        <w:t>12月31日</w:t>
      </w:r>
      <w:r>
        <w:rPr>
          <w:rFonts w:hint="eastAsia" w:ascii="仿宋_GB2312" w:hAnsi="宋体" w:eastAsia="仿宋_GB2312"/>
          <w:color w:val="auto"/>
          <w:sz w:val="32"/>
          <w:szCs w:val="32"/>
        </w:rPr>
        <w:t>前落户集聚区（含拓展区）内、排名居国际细分市场前</w:t>
      </w:r>
      <w:r>
        <w:rPr>
          <w:rFonts w:ascii="仿宋_GB2312" w:hAnsi="宋体" w:eastAsia="仿宋_GB2312"/>
          <w:color w:val="auto"/>
          <w:sz w:val="32"/>
          <w:szCs w:val="32"/>
        </w:rPr>
        <w:t>20</w:t>
      </w:r>
      <w:r>
        <w:rPr>
          <w:rFonts w:hint="eastAsia" w:ascii="仿宋_GB2312" w:hAnsi="宋体" w:eastAsia="仿宋_GB2312"/>
          <w:color w:val="auto"/>
          <w:sz w:val="32"/>
          <w:szCs w:val="32"/>
        </w:rPr>
        <w:t>强</w:t>
      </w:r>
      <w:r>
        <w:rPr>
          <w:rFonts w:hint="eastAsia" w:ascii="仿宋_GB2312" w:hAnsi="宋体" w:eastAsia="仿宋_GB2312"/>
          <w:color w:val="auto"/>
          <w:sz w:val="32"/>
          <w:szCs w:val="32"/>
          <w:lang w:eastAsia="zh-CN"/>
        </w:rPr>
        <w:t>（含</w:t>
      </w:r>
      <w:r>
        <w:rPr>
          <w:rFonts w:hint="eastAsia" w:ascii="仿宋_GB2312" w:hAnsi="宋体" w:eastAsia="仿宋_GB2312"/>
          <w:color w:val="auto"/>
          <w:sz w:val="32"/>
          <w:szCs w:val="32"/>
          <w:lang w:val="en-US" w:eastAsia="zh-CN"/>
        </w:rPr>
        <w:t>20强</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，或未有细分市场排名</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但参与行业标准、规则制定</w:t>
      </w:r>
      <w:r>
        <w:rPr>
          <w:rFonts w:hint="eastAsia" w:ascii="仿宋_GB2312" w:hAnsi="宋体" w:eastAsia="仿宋_GB2312"/>
          <w:color w:val="auto"/>
          <w:sz w:val="32"/>
          <w:szCs w:val="32"/>
          <w:lang w:eastAsia="zh-CN"/>
        </w:rPr>
        <w:t>或</w:t>
      </w:r>
      <w:r>
        <w:rPr>
          <w:rFonts w:hint="eastAsia" w:ascii="仿宋_GB2312" w:hAnsi="宋体" w:eastAsia="仿宋_GB2312"/>
          <w:color w:val="auto"/>
          <w:sz w:val="32"/>
          <w:szCs w:val="32"/>
        </w:rPr>
        <w:t>对</w:t>
      </w:r>
      <w:r>
        <w:rPr>
          <w:rFonts w:hint="eastAsia" w:ascii="仿宋_GB2312" w:hAnsi="宋体" w:eastAsia="仿宋_GB2312"/>
          <w:color w:val="auto"/>
          <w:sz w:val="32"/>
          <w:szCs w:val="32"/>
          <w:lang w:eastAsia="zh-CN"/>
        </w:rPr>
        <w:t>集聚区加强产业辐射能力</w:t>
      </w:r>
      <w:r>
        <w:rPr>
          <w:rFonts w:hint="eastAsia" w:ascii="仿宋_GB2312" w:hAnsi="宋体" w:eastAsia="仿宋_GB2312"/>
          <w:color w:val="auto"/>
          <w:sz w:val="32"/>
          <w:szCs w:val="32"/>
        </w:rPr>
        <w:t>、提升整体竞争力和影响力具有重要促进作用的航运辅助业、航运衍生服务业相关办事机构及国内外知名航运协会组织或航运特色院校相关办事机构，经认定，给予一次性最高</w:t>
      </w:r>
      <w:r>
        <w:rPr>
          <w:rFonts w:ascii="仿宋_GB2312" w:hAnsi="宋体" w:eastAsia="仿宋_GB2312"/>
          <w:color w:val="auto"/>
          <w:sz w:val="32"/>
          <w:szCs w:val="32"/>
        </w:rPr>
        <w:t>15</w:t>
      </w:r>
      <w:r>
        <w:rPr>
          <w:rFonts w:hint="eastAsia" w:ascii="仿宋_GB2312" w:hAnsi="宋体" w:eastAsia="仿宋_GB2312"/>
          <w:color w:val="auto"/>
          <w:sz w:val="32"/>
          <w:szCs w:val="32"/>
        </w:rPr>
        <w:t>万元的</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rPr>
        <w:t>。</w:t>
      </w:r>
    </w:p>
    <w:p>
      <w:pPr>
        <w:tabs>
          <w:tab w:val="left" w:pos="735"/>
        </w:tabs>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第十条 对符合上述第七、八、九条中资质条件的企业机构的办公用房房租进行补助。对上年度从市外引进或在本市新设立、且于</w:t>
      </w:r>
      <w:r>
        <w:rPr>
          <w:rFonts w:hint="eastAsia" w:ascii="仿宋_GB2312" w:hAnsi="宋体" w:eastAsia="仿宋_GB2312"/>
          <w:color w:val="auto"/>
          <w:sz w:val="32"/>
          <w:szCs w:val="32"/>
          <w:lang w:eastAsia="zh-CN"/>
        </w:rPr>
        <w:t>当年政策申报截至日期</w:t>
      </w:r>
      <w:r>
        <w:rPr>
          <w:rFonts w:hint="eastAsia" w:ascii="仿宋_GB2312" w:hAnsi="宋体" w:eastAsia="仿宋_GB2312"/>
          <w:color w:val="auto"/>
          <w:sz w:val="32"/>
          <w:szCs w:val="32"/>
          <w:lang w:val="en-US" w:eastAsia="zh-CN"/>
        </w:rPr>
        <w:t>前</w:t>
      </w:r>
      <w:r>
        <w:rPr>
          <w:rFonts w:hint="eastAsia" w:ascii="仿宋_GB2312" w:hAnsi="宋体" w:eastAsia="仿宋_GB2312" w:cs="仿宋_GB2312"/>
          <w:color w:val="auto"/>
          <w:sz w:val="32"/>
          <w:szCs w:val="32"/>
        </w:rPr>
        <w:t>落户集聚区（含拓展区）内的</w:t>
      </w:r>
      <w:r>
        <w:rPr>
          <w:rFonts w:hint="eastAsia" w:ascii="仿宋_GB2312" w:hAnsi="宋体" w:eastAsia="仿宋_GB2312"/>
          <w:color w:val="auto"/>
          <w:sz w:val="32"/>
          <w:szCs w:val="32"/>
        </w:rPr>
        <w:t>各类总部，给予其1个自然年度实际房租全额补贴</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至</w:t>
      </w:r>
      <w:r>
        <w:rPr>
          <w:rFonts w:hint="eastAsia" w:ascii="仿宋_GB2312" w:hAnsi="宋体" w:eastAsia="仿宋_GB2312"/>
          <w:color w:val="auto"/>
          <w:sz w:val="32"/>
          <w:szCs w:val="32"/>
          <w:lang w:eastAsia="zh-CN"/>
        </w:rPr>
        <w:t>当年</w:t>
      </w:r>
      <w:r>
        <w:rPr>
          <w:rFonts w:hint="eastAsia" w:ascii="仿宋_GB2312" w:hAnsi="宋体" w:eastAsia="仿宋_GB2312"/>
          <w:color w:val="auto"/>
          <w:sz w:val="32"/>
          <w:szCs w:val="32"/>
        </w:rPr>
        <w:t>政策申报</w:t>
      </w:r>
      <w:r>
        <w:rPr>
          <w:rFonts w:hint="eastAsia" w:ascii="仿宋_GB2312" w:hAnsi="宋体" w:eastAsia="仿宋_GB2312"/>
          <w:color w:val="auto"/>
          <w:sz w:val="32"/>
          <w:szCs w:val="32"/>
          <w:lang w:eastAsia="zh-CN"/>
        </w:rPr>
        <w:t>截止日期前</w:t>
      </w:r>
      <w:r>
        <w:rPr>
          <w:rFonts w:hint="eastAsia" w:ascii="仿宋_GB2312" w:hAnsi="宋体" w:eastAsia="仿宋_GB2312"/>
          <w:color w:val="auto"/>
          <w:sz w:val="32"/>
          <w:szCs w:val="32"/>
        </w:rPr>
        <w:t>未满1自然年度的，按实际租赁天数给予实际房租部分全额补贴；对上年度从市外引进或在本市新设立、且</w:t>
      </w:r>
      <w:r>
        <w:rPr>
          <w:rFonts w:hint="eastAsia" w:ascii="仿宋_GB2312" w:hAnsi="宋体" w:eastAsia="仿宋_GB2312"/>
          <w:color w:val="auto"/>
          <w:sz w:val="32"/>
          <w:szCs w:val="32"/>
          <w:lang w:eastAsia="zh-CN"/>
        </w:rPr>
        <w:t>于政策申报当年</w:t>
      </w:r>
      <w:r>
        <w:rPr>
          <w:rFonts w:hint="eastAsia" w:ascii="仿宋_GB2312" w:hAnsi="宋体" w:eastAsia="仿宋_GB2312"/>
          <w:color w:val="auto"/>
          <w:sz w:val="32"/>
          <w:szCs w:val="32"/>
          <w:lang w:val="en-US" w:eastAsia="zh-CN"/>
        </w:rPr>
        <w:t>12月31日前</w:t>
      </w:r>
      <w:r>
        <w:rPr>
          <w:rFonts w:hint="eastAsia" w:ascii="仿宋_GB2312" w:hAnsi="宋体" w:eastAsia="仿宋_GB2312" w:cs="仿宋_GB2312"/>
          <w:color w:val="auto"/>
          <w:sz w:val="32"/>
          <w:szCs w:val="32"/>
        </w:rPr>
        <w:t>落户集聚区（含拓展区）内的</w:t>
      </w:r>
      <w:r>
        <w:rPr>
          <w:rFonts w:hint="eastAsia" w:ascii="仿宋_GB2312" w:hAnsi="宋体" w:eastAsia="仿宋_GB2312"/>
          <w:color w:val="auto"/>
          <w:sz w:val="32"/>
          <w:szCs w:val="32"/>
        </w:rPr>
        <w:t>分支机构或办事机构，给予其1个自然年度实际房租60%补贴</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至</w:t>
      </w:r>
      <w:r>
        <w:rPr>
          <w:rFonts w:hint="eastAsia" w:ascii="仿宋_GB2312" w:hAnsi="宋体" w:eastAsia="仿宋_GB2312"/>
          <w:color w:val="auto"/>
          <w:sz w:val="32"/>
          <w:szCs w:val="32"/>
          <w:lang w:eastAsia="zh-CN"/>
        </w:rPr>
        <w:t>当年</w:t>
      </w:r>
      <w:r>
        <w:rPr>
          <w:rFonts w:hint="eastAsia" w:ascii="仿宋_GB2312" w:hAnsi="宋体" w:eastAsia="仿宋_GB2312"/>
          <w:color w:val="auto"/>
          <w:sz w:val="32"/>
          <w:szCs w:val="32"/>
        </w:rPr>
        <w:t>政策申报</w:t>
      </w:r>
      <w:r>
        <w:rPr>
          <w:rFonts w:hint="eastAsia" w:ascii="仿宋_GB2312" w:hAnsi="宋体" w:eastAsia="仿宋_GB2312"/>
          <w:color w:val="auto"/>
          <w:sz w:val="32"/>
          <w:szCs w:val="32"/>
          <w:lang w:eastAsia="zh-CN"/>
        </w:rPr>
        <w:t>截止日期前</w:t>
      </w:r>
      <w:r>
        <w:rPr>
          <w:rFonts w:hint="eastAsia" w:ascii="仿宋_GB2312" w:hAnsi="宋体" w:eastAsia="仿宋_GB2312"/>
          <w:color w:val="auto"/>
          <w:sz w:val="32"/>
          <w:szCs w:val="32"/>
        </w:rPr>
        <w:t>未满1自然年度的，按实际租赁天数给予实际房租部分60%补贴；对原先已在本市登记注册、上年度</w:t>
      </w:r>
      <w:r>
        <w:rPr>
          <w:rFonts w:hint="eastAsia" w:ascii="仿宋_GB2312" w:hAnsi="宋体" w:eastAsia="仿宋_GB2312" w:cs="仿宋_GB2312"/>
          <w:color w:val="auto"/>
          <w:sz w:val="32"/>
          <w:szCs w:val="32"/>
        </w:rPr>
        <w:t>落户集聚区（含拓展区）内的</w:t>
      </w:r>
      <w:r>
        <w:rPr>
          <w:rFonts w:hint="eastAsia" w:ascii="仿宋_GB2312" w:hAnsi="宋体" w:eastAsia="仿宋_GB2312"/>
          <w:color w:val="auto"/>
          <w:sz w:val="32"/>
          <w:szCs w:val="32"/>
        </w:rPr>
        <w:t>企业机构按照上年度实际房租金额的30%给予租金补贴。</w:t>
      </w:r>
    </w:p>
    <w:p>
      <w:pPr>
        <w:tabs>
          <w:tab w:val="left" w:pos="735"/>
        </w:tabs>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olor w:val="auto"/>
          <w:sz w:val="32"/>
          <w:szCs w:val="32"/>
          <w:lang w:eastAsia="zh-CN"/>
        </w:rPr>
        <w:t>上述所有符合资质条件的企业机构</w:t>
      </w:r>
      <w:r>
        <w:rPr>
          <w:rFonts w:hint="eastAsia" w:ascii="仿宋_GB2312" w:hAnsi="宋体" w:eastAsia="仿宋_GB2312" w:cs="仿宋_GB2312"/>
          <w:color w:val="auto"/>
          <w:sz w:val="32"/>
          <w:szCs w:val="32"/>
        </w:rPr>
        <w:t>单家补贴最高不超过</w:t>
      </w:r>
      <w:r>
        <w:rPr>
          <w:rFonts w:ascii="仿宋_GB2312" w:hAnsi="宋体" w:eastAsia="仿宋_GB2312" w:cs="仿宋_GB2312"/>
          <w:color w:val="auto"/>
          <w:sz w:val="32"/>
          <w:szCs w:val="32"/>
        </w:rPr>
        <w:t>50</w:t>
      </w:r>
      <w:r>
        <w:rPr>
          <w:rFonts w:hint="eastAsia" w:ascii="仿宋_GB2312" w:hAnsi="宋体" w:eastAsia="仿宋_GB2312" w:cs="仿宋_GB2312"/>
          <w:color w:val="auto"/>
          <w:sz w:val="32"/>
          <w:szCs w:val="32"/>
        </w:rPr>
        <w:t>万元</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已享受市、区两级同类扶持政策的不得重复享受本补贴。</w:t>
      </w:r>
    </w:p>
    <w:p>
      <w:pPr>
        <w:tabs>
          <w:tab w:val="left" w:pos="8280"/>
        </w:tabs>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第十一条 招商中介奖励</w:t>
      </w:r>
    </w:p>
    <w:p>
      <w:pPr>
        <w:tabs>
          <w:tab w:val="left" w:pos="8280"/>
        </w:tabs>
        <w:spacing w:line="56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对符合上述第七、八、九条资质条件的企业机构引荐方，按照总部类每家最高7万元、分支机构或办事机构每家最高5万元给予招商奖励，单家引荐方奖励总额最高不超过35万元。</w:t>
      </w:r>
    </w:p>
    <w:p>
      <w:pPr>
        <w:tabs>
          <w:tab w:val="left" w:pos="8280"/>
        </w:tabs>
        <w:spacing w:line="56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第十</w:t>
      </w:r>
      <w:r>
        <w:rPr>
          <w:rFonts w:hint="eastAsia" w:ascii="仿宋_GB2312" w:hAnsi="宋体" w:eastAsia="仿宋_GB2312" w:cs="仿宋_GB2312"/>
          <w:color w:val="auto"/>
          <w:sz w:val="32"/>
          <w:szCs w:val="32"/>
          <w:lang w:eastAsia="zh-CN"/>
        </w:rPr>
        <w:t>二</w:t>
      </w:r>
      <w:r>
        <w:rPr>
          <w:rFonts w:hint="eastAsia" w:ascii="仿宋_GB2312" w:hAnsi="宋体" w:eastAsia="仿宋_GB2312" w:cs="仿宋_GB2312"/>
          <w:color w:val="auto"/>
          <w:sz w:val="32"/>
          <w:szCs w:val="32"/>
        </w:rPr>
        <w:t xml:space="preserve">条 </w:t>
      </w:r>
      <w:r>
        <w:rPr>
          <w:rFonts w:hint="eastAsia" w:ascii="仿宋_GB2312" w:hAnsi="宋体" w:eastAsia="仿宋_GB2312" w:cs="仿宋_GB2312"/>
          <w:color w:val="auto"/>
          <w:sz w:val="32"/>
          <w:szCs w:val="32"/>
          <w:lang w:eastAsia="zh-CN"/>
        </w:rPr>
        <w:t>楼宇</w:t>
      </w:r>
      <w:r>
        <w:rPr>
          <w:rFonts w:hint="eastAsia" w:ascii="仿宋_GB2312" w:hAnsi="宋体" w:eastAsia="仿宋_GB2312" w:cs="仿宋_GB2312"/>
          <w:color w:val="auto"/>
          <w:sz w:val="32"/>
          <w:szCs w:val="32"/>
        </w:rPr>
        <w:t>奖励</w:t>
      </w:r>
    </w:p>
    <w:p>
      <w:pPr>
        <w:tabs>
          <w:tab w:val="left" w:pos="8280"/>
        </w:tabs>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对</w:t>
      </w:r>
      <w:r>
        <w:rPr>
          <w:rFonts w:hint="eastAsia" w:ascii="仿宋_GB2312" w:hAnsi="宋体" w:eastAsia="仿宋_GB2312"/>
          <w:color w:val="auto"/>
          <w:sz w:val="32"/>
          <w:szCs w:val="32"/>
          <w:lang w:eastAsia="zh-CN"/>
        </w:rPr>
        <w:t>集聚区（含拓展区）内楼宇主要运营单位</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根据其政策申报截止日期前</w:t>
      </w:r>
      <w:r>
        <w:rPr>
          <w:rFonts w:hint="eastAsia" w:ascii="仿宋_GB2312" w:hAnsi="宋体" w:eastAsia="仿宋_GB2312"/>
          <w:color w:val="auto"/>
          <w:sz w:val="32"/>
          <w:szCs w:val="32"/>
        </w:rPr>
        <w:t>符合上述第七、八、九条资质条件的企业机构</w:t>
      </w:r>
      <w:r>
        <w:rPr>
          <w:rFonts w:hint="eastAsia" w:ascii="仿宋_GB2312" w:hAnsi="宋体" w:eastAsia="仿宋_GB2312"/>
          <w:color w:val="auto"/>
          <w:sz w:val="32"/>
          <w:szCs w:val="32"/>
          <w:lang w:eastAsia="zh-CN"/>
        </w:rPr>
        <w:t>入驻数量，</w:t>
      </w:r>
      <w:r>
        <w:rPr>
          <w:rFonts w:hint="eastAsia" w:ascii="仿宋_GB2312" w:hAnsi="宋体" w:eastAsia="仿宋_GB2312"/>
          <w:color w:val="auto"/>
          <w:sz w:val="32"/>
          <w:szCs w:val="32"/>
        </w:rPr>
        <w:t>按照</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家最高</w:t>
      </w:r>
      <w:r>
        <w:rPr>
          <w:rFonts w:hint="eastAsia" w:ascii="仿宋_GB2312" w:hAnsi="宋体" w:eastAsia="仿宋_GB2312"/>
          <w:color w:val="auto"/>
          <w:sz w:val="32"/>
          <w:szCs w:val="32"/>
          <w:lang w:eastAsia="zh-CN"/>
        </w:rPr>
        <w:t>奖励</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val="en-US" w:eastAsia="zh-CN"/>
        </w:rPr>
        <w:t>2家最高奖励6万元、每增加1家最高奖励1万元</w:t>
      </w:r>
      <w:r>
        <w:rPr>
          <w:rFonts w:hint="eastAsia" w:ascii="仿宋_GB2312" w:hAnsi="宋体" w:eastAsia="仿宋_GB2312"/>
          <w:color w:val="auto"/>
          <w:sz w:val="32"/>
          <w:szCs w:val="32"/>
        </w:rPr>
        <w:t>，单家</w:t>
      </w:r>
      <w:r>
        <w:rPr>
          <w:rFonts w:hint="eastAsia" w:ascii="仿宋_GB2312" w:hAnsi="宋体" w:eastAsia="仿宋_GB2312"/>
          <w:color w:val="auto"/>
          <w:sz w:val="32"/>
          <w:szCs w:val="32"/>
          <w:lang w:eastAsia="zh-CN"/>
        </w:rPr>
        <w:t>楼宇主要运营单位</w:t>
      </w:r>
      <w:r>
        <w:rPr>
          <w:rFonts w:hint="eastAsia" w:ascii="仿宋_GB2312" w:hAnsi="宋体" w:eastAsia="仿宋_GB2312"/>
          <w:color w:val="auto"/>
          <w:sz w:val="32"/>
          <w:szCs w:val="32"/>
        </w:rPr>
        <w:t>奖励总额最高不超过</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，本条款奖励享受主体与上述第十一条相同的，按照“就高不重复”原则予以奖励。</w:t>
      </w:r>
    </w:p>
    <w:p>
      <w:pPr>
        <w:tabs>
          <w:tab w:val="left" w:pos="8280"/>
        </w:tabs>
        <w:spacing w:line="560" w:lineRule="exact"/>
        <w:ind w:firstLine="640" w:firstLineChars="200"/>
        <w:rPr>
          <w:rFonts w:hint="eastAsia" w:ascii="仿宋_GB2312" w:hAnsi="宋体" w:eastAsia="仿宋_GB2312"/>
          <w:color w:val="auto"/>
          <w:sz w:val="32"/>
          <w:szCs w:val="32"/>
          <w:lang w:eastAsia="zh-CN"/>
        </w:rPr>
      </w:pPr>
    </w:p>
    <w:p>
      <w:pPr>
        <w:adjustRightInd w:val="0"/>
        <w:snapToGrid w:val="0"/>
        <w:spacing w:line="560" w:lineRule="exact"/>
        <w:jc w:val="center"/>
        <w:rPr>
          <w:rFonts w:ascii="黑体" w:hAnsi="宋体" w:eastAsia="黑体" w:cs="宋体"/>
          <w:color w:val="auto"/>
          <w:sz w:val="32"/>
          <w:szCs w:val="32"/>
        </w:rPr>
      </w:pPr>
      <w:r>
        <w:rPr>
          <w:rFonts w:hint="eastAsia" w:ascii="黑体" w:hAnsi="宋体" w:eastAsia="黑体" w:cs="宋体"/>
          <w:color w:val="auto"/>
          <w:sz w:val="32"/>
          <w:szCs w:val="32"/>
        </w:rPr>
        <w:t>第</w:t>
      </w:r>
      <w:r>
        <w:rPr>
          <w:rFonts w:hint="eastAsia" w:ascii="黑体" w:hAnsi="宋体" w:eastAsia="黑体" w:cs="宋体"/>
          <w:color w:val="auto"/>
          <w:sz w:val="32"/>
          <w:szCs w:val="32"/>
          <w:lang w:eastAsia="zh-CN"/>
        </w:rPr>
        <w:t>四</w:t>
      </w:r>
      <w:r>
        <w:rPr>
          <w:rFonts w:hint="eastAsia" w:ascii="黑体" w:hAnsi="宋体" w:eastAsia="黑体" w:cs="宋体"/>
          <w:color w:val="auto"/>
          <w:sz w:val="32"/>
          <w:szCs w:val="32"/>
        </w:rPr>
        <w:t>章</w:t>
      </w:r>
      <w:r>
        <w:rPr>
          <w:rFonts w:ascii="黑体" w:hAnsi="宋体" w:eastAsia="黑体" w:cs="宋体"/>
          <w:color w:val="auto"/>
          <w:sz w:val="32"/>
          <w:szCs w:val="32"/>
        </w:rPr>
        <w:t xml:space="preserve"> </w:t>
      </w:r>
      <w:r>
        <w:rPr>
          <w:rFonts w:hint="eastAsia" w:ascii="黑体" w:hAnsi="宋体" w:eastAsia="黑体" w:cs="宋体"/>
          <w:color w:val="auto"/>
          <w:sz w:val="32"/>
          <w:szCs w:val="32"/>
        </w:rPr>
        <w:t>申报程序和要求</w:t>
      </w:r>
    </w:p>
    <w:p>
      <w:pPr>
        <w:adjustRightInd w:val="0"/>
        <w:snapToGrid w:val="0"/>
        <w:spacing w:line="56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第十</w:t>
      </w:r>
      <w:r>
        <w:rPr>
          <w:rFonts w:hint="eastAsia" w:ascii="仿宋_GB2312" w:hAnsi="宋体" w:eastAsia="仿宋_GB2312" w:cs="宋体"/>
          <w:color w:val="auto"/>
          <w:sz w:val="32"/>
          <w:szCs w:val="32"/>
          <w:lang w:eastAsia="zh-CN"/>
        </w:rPr>
        <w:t>三</w:t>
      </w:r>
      <w:r>
        <w:rPr>
          <w:rFonts w:hint="eastAsia" w:ascii="仿宋_GB2312" w:hAnsi="宋体" w:eastAsia="仿宋_GB2312" w:cs="宋体"/>
          <w:color w:val="auto"/>
          <w:sz w:val="32"/>
          <w:szCs w:val="32"/>
        </w:rPr>
        <w:t>条</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申报程序。由宁波市口岸办按年度下发申报通知，企业自主申报，所属街道初审盖章，由楼宇业主统一汇总后报市口岸办受理。</w:t>
      </w:r>
    </w:p>
    <w:p>
      <w:pPr>
        <w:adjustRightInd w:val="0"/>
        <w:snapToGrid w:val="0"/>
        <w:spacing w:line="56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第十</w:t>
      </w:r>
      <w:r>
        <w:rPr>
          <w:rFonts w:hint="eastAsia" w:ascii="仿宋_GB2312" w:hAnsi="宋体" w:eastAsia="仿宋_GB2312" w:cs="宋体"/>
          <w:color w:val="auto"/>
          <w:sz w:val="32"/>
          <w:szCs w:val="32"/>
          <w:lang w:eastAsia="zh-CN"/>
        </w:rPr>
        <w:t>四</w:t>
      </w:r>
      <w:r>
        <w:rPr>
          <w:rFonts w:hint="eastAsia" w:ascii="仿宋_GB2312" w:hAnsi="宋体" w:eastAsia="仿宋_GB2312" w:cs="宋体"/>
          <w:color w:val="auto"/>
          <w:sz w:val="32"/>
          <w:szCs w:val="32"/>
        </w:rPr>
        <w:t>条</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审查和公示。市口岸办对申报企业进行初步评审，研究提出扶持企业初步名单。对于拟扶持企业，将委托第三方机构对有关合同及项目实际投入进行专家评审、专项审计，并根据需要对企业进行实地抽查。后由市口岸办牵头四方联席会议成员单位对拟扶持企业相关情况进行共同审核。在综合考虑评审意见、专项审计情况和实地抽查情况后，由市口岸办和市财政局共同拟定扶持企业名单及扶持金额，在市口岸办网站向社会公示五个工作日。</w:t>
      </w:r>
    </w:p>
    <w:p>
      <w:pPr>
        <w:adjustRightInd w:val="0"/>
        <w:snapToGrid w:val="0"/>
        <w:spacing w:line="560" w:lineRule="exact"/>
        <w:ind w:firstLine="640" w:firstLineChars="200"/>
        <w:rPr>
          <w:rFonts w:ascii="仿宋_GB2312" w:hAnsi="宋体" w:eastAsia="仿宋_GB2312" w:cs="宋体"/>
          <w:color w:val="auto"/>
          <w:sz w:val="32"/>
          <w:szCs w:val="32"/>
        </w:rPr>
      </w:pPr>
    </w:p>
    <w:p>
      <w:pPr>
        <w:adjustRightInd w:val="0"/>
        <w:snapToGrid w:val="0"/>
        <w:spacing w:line="560" w:lineRule="exact"/>
        <w:jc w:val="center"/>
        <w:rPr>
          <w:rFonts w:ascii="黑体" w:hAnsi="宋体" w:eastAsia="黑体" w:cs="宋体"/>
          <w:color w:val="auto"/>
          <w:sz w:val="32"/>
          <w:szCs w:val="32"/>
        </w:rPr>
      </w:pPr>
      <w:r>
        <w:rPr>
          <w:rFonts w:hint="eastAsia" w:ascii="黑体" w:hAnsi="宋体" w:eastAsia="黑体" w:cs="宋体"/>
          <w:color w:val="auto"/>
          <w:sz w:val="32"/>
          <w:szCs w:val="32"/>
        </w:rPr>
        <w:t>第</w:t>
      </w:r>
      <w:r>
        <w:rPr>
          <w:rFonts w:hint="eastAsia" w:ascii="黑体" w:hAnsi="宋体" w:eastAsia="黑体" w:cs="宋体"/>
          <w:color w:val="auto"/>
          <w:sz w:val="32"/>
          <w:szCs w:val="32"/>
          <w:lang w:eastAsia="zh-CN"/>
        </w:rPr>
        <w:t>五</w:t>
      </w:r>
      <w:r>
        <w:rPr>
          <w:rFonts w:hint="eastAsia" w:ascii="黑体" w:hAnsi="宋体" w:eastAsia="黑体" w:cs="宋体"/>
          <w:color w:val="auto"/>
          <w:sz w:val="32"/>
          <w:szCs w:val="32"/>
        </w:rPr>
        <w:t>章</w:t>
      </w:r>
      <w:r>
        <w:rPr>
          <w:rFonts w:ascii="黑体" w:hAnsi="宋体" w:eastAsia="黑体" w:cs="宋体"/>
          <w:color w:val="auto"/>
          <w:sz w:val="32"/>
          <w:szCs w:val="32"/>
        </w:rPr>
        <w:t xml:space="preserve"> </w:t>
      </w:r>
      <w:r>
        <w:rPr>
          <w:rFonts w:hint="eastAsia" w:ascii="黑体" w:hAnsi="宋体" w:eastAsia="黑体" w:cs="宋体"/>
          <w:color w:val="auto"/>
          <w:sz w:val="32"/>
          <w:szCs w:val="32"/>
        </w:rPr>
        <w:t>监督管理</w:t>
      </w:r>
    </w:p>
    <w:p>
      <w:pPr>
        <w:adjustRightInd w:val="0"/>
        <w:snapToGrid w:val="0"/>
        <w:spacing w:line="56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第十</w:t>
      </w:r>
      <w:r>
        <w:rPr>
          <w:rFonts w:hint="eastAsia" w:ascii="仿宋_GB2312" w:hAnsi="宋体" w:eastAsia="仿宋_GB2312" w:cs="宋体"/>
          <w:color w:val="auto"/>
          <w:sz w:val="32"/>
          <w:szCs w:val="32"/>
          <w:lang w:eastAsia="zh-CN"/>
        </w:rPr>
        <w:t>五</w:t>
      </w:r>
      <w:r>
        <w:rPr>
          <w:rFonts w:hint="eastAsia" w:ascii="仿宋_GB2312" w:hAnsi="宋体" w:eastAsia="仿宋_GB2312" w:cs="宋体"/>
          <w:color w:val="auto"/>
          <w:sz w:val="32"/>
          <w:szCs w:val="32"/>
        </w:rPr>
        <w:t>条</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各申报企业应按时提出申请。在申请认定过程中如隐瞒真实情况、提供虚假信息或采取其它办法骗取补助的，一经查实，按《财政违法行为处罚处分条例》规定进行处理，除追回已补助资金外，该单位永久不得享受本政策及相关产业政策。</w:t>
      </w:r>
    </w:p>
    <w:p>
      <w:pPr>
        <w:adjustRightInd w:val="0"/>
        <w:snapToGrid w:val="0"/>
        <w:spacing w:line="56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第十</w:t>
      </w:r>
      <w:r>
        <w:rPr>
          <w:rFonts w:hint="eastAsia" w:ascii="仿宋_GB2312" w:hAnsi="宋体" w:eastAsia="仿宋_GB2312" w:cs="宋体"/>
          <w:color w:val="auto"/>
          <w:sz w:val="32"/>
          <w:szCs w:val="32"/>
          <w:lang w:eastAsia="zh-CN"/>
        </w:rPr>
        <w:t>六</w:t>
      </w:r>
      <w:r>
        <w:rPr>
          <w:rFonts w:hint="eastAsia" w:ascii="仿宋_GB2312" w:hAnsi="宋体" w:eastAsia="仿宋_GB2312" w:cs="宋体"/>
          <w:color w:val="auto"/>
          <w:sz w:val="32"/>
          <w:szCs w:val="32"/>
        </w:rPr>
        <w:t>条</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专项资金实行绩效管理，按照年度制定的绩效目标执行项目，加强绩效管理和监督，提高经费使用效益。</w:t>
      </w:r>
    </w:p>
    <w:p>
      <w:pPr>
        <w:adjustRightInd w:val="0"/>
        <w:snapToGrid w:val="0"/>
        <w:spacing w:line="560" w:lineRule="exact"/>
        <w:ind w:firstLine="640" w:firstLineChars="200"/>
        <w:rPr>
          <w:rFonts w:ascii="仿宋_GB2312" w:hAnsi="宋体" w:eastAsia="仿宋_GB2312" w:cs="宋体"/>
          <w:color w:val="auto"/>
          <w:sz w:val="32"/>
          <w:szCs w:val="32"/>
        </w:rPr>
      </w:pPr>
      <w:r>
        <w:rPr>
          <w:rFonts w:hint="eastAsia" w:ascii="仿宋_GB2312" w:hAnsi="宋体" w:eastAsia="仿宋_GB2312" w:cs="宋体"/>
          <w:color w:val="auto"/>
          <w:sz w:val="32"/>
          <w:szCs w:val="32"/>
        </w:rPr>
        <w:t>第十</w:t>
      </w:r>
      <w:r>
        <w:rPr>
          <w:rFonts w:hint="eastAsia" w:ascii="仿宋_GB2312" w:hAnsi="宋体" w:eastAsia="仿宋_GB2312" w:cs="宋体"/>
          <w:color w:val="auto"/>
          <w:sz w:val="32"/>
          <w:szCs w:val="32"/>
          <w:lang w:eastAsia="zh-CN"/>
        </w:rPr>
        <w:t>七</w:t>
      </w:r>
      <w:r>
        <w:rPr>
          <w:rFonts w:hint="eastAsia" w:ascii="仿宋_GB2312" w:hAnsi="宋体" w:eastAsia="仿宋_GB2312" w:cs="宋体"/>
          <w:color w:val="auto"/>
          <w:sz w:val="32"/>
          <w:szCs w:val="32"/>
        </w:rPr>
        <w:t>条</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专项资金在有关政策法规以及财务规章制度规定的范围内使用，做到专款专用，并接受市口岸、审计、财政、监察部门的监督、检查。</w:t>
      </w:r>
    </w:p>
    <w:p>
      <w:pPr>
        <w:adjustRightInd w:val="0"/>
        <w:snapToGrid w:val="0"/>
        <w:spacing w:line="560" w:lineRule="exact"/>
        <w:ind w:firstLine="640" w:firstLineChars="200"/>
        <w:rPr>
          <w:rFonts w:ascii="仿宋_GB2312" w:hAnsi="宋体" w:eastAsia="仿宋_GB2312" w:cs="宋体"/>
          <w:color w:val="auto"/>
          <w:sz w:val="32"/>
          <w:szCs w:val="32"/>
        </w:rPr>
      </w:pPr>
      <w:r>
        <w:rPr>
          <w:rFonts w:ascii="仿宋_GB2312" w:hAnsi="宋体" w:eastAsia="仿宋_GB2312" w:cs="宋体"/>
          <w:color w:val="auto"/>
          <w:sz w:val="32"/>
          <w:szCs w:val="32"/>
        </w:rPr>
        <w:t xml:space="preserve">          </w:t>
      </w:r>
    </w:p>
    <w:p>
      <w:pPr>
        <w:adjustRightInd w:val="0"/>
        <w:snapToGrid w:val="0"/>
        <w:spacing w:line="560" w:lineRule="exact"/>
        <w:jc w:val="center"/>
        <w:rPr>
          <w:rFonts w:ascii="黑体" w:hAnsi="宋体" w:eastAsia="黑体" w:cs="宋体"/>
          <w:color w:val="auto"/>
          <w:sz w:val="32"/>
          <w:szCs w:val="32"/>
        </w:rPr>
      </w:pPr>
      <w:r>
        <w:rPr>
          <w:rFonts w:hint="eastAsia" w:ascii="黑体" w:hAnsi="宋体" w:eastAsia="黑体" w:cs="宋体"/>
          <w:color w:val="auto"/>
          <w:sz w:val="32"/>
          <w:szCs w:val="32"/>
        </w:rPr>
        <w:t>第</w:t>
      </w:r>
      <w:r>
        <w:rPr>
          <w:rFonts w:hint="eastAsia" w:ascii="黑体" w:hAnsi="宋体" w:eastAsia="黑体" w:cs="宋体"/>
          <w:color w:val="auto"/>
          <w:sz w:val="32"/>
          <w:szCs w:val="32"/>
          <w:lang w:eastAsia="zh-CN"/>
        </w:rPr>
        <w:t>六</w:t>
      </w:r>
      <w:r>
        <w:rPr>
          <w:rFonts w:hint="eastAsia" w:ascii="黑体" w:hAnsi="宋体" w:eastAsia="黑体" w:cs="宋体"/>
          <w:color w:val="auto"/>
          <w:sz w:val="32"/>
          <w:szCs w:val="32"/>
        </w:rPr>
        <w:t>章</w:t>
      </w:r>
      <w:r>
        <w:rPr>
          <w:rFonts w:ascii="黑体" w:hAnsi="宋体" w:eastAsia="黑体" w:cs="宋体"/>
          <w:color w:val="auto"/>
          <w:sz w:val="32"/>
          <w:szCs w:val="32"/>
        </w:rPr>
        <w:t xml:space="preserve"> </w:t>
      </w:r>
      <w:r>
        <w:rPr>
          <w:rFonts w:hint="eastAsia" w:ascii="黑体" w:hAnsi="宋体" w:eastAsia="黑体" w:cs="宋体"/>
          <w:color w:val="auto"/>
          <w:sz w:val="32"/>
          <w:szCs w:val="32"/>
        </w:rPr>
        <w:t>附则</w:t>
      </w:r>
    </w:p>
    <w:p>
      <w:pPr>
        <w:adjustRightInd w:val="0"/>
        <w:snapToGrid w:val="0"/>
        <w:spacing w:line="560" w:lineRule="exact"/>
        <w:ind w:firstLine="640" w:firstLineChars="200"/>
        <w:rPr>
          <w:rFonts w:ascii="仿宋_GB2312" w:hAnsi="宋体" w:eastAsia="仿宋_GB2312"/>
          <w:color w:val="auto"/>
          <w:sz w:val="32"/>
          <w:szCs w:val="32"/>
        </w:rPr>
      </w:pPr>
      <w:r>
        <w:rPr>
          <w:rFonts w:hint="eastAsia" w:ascii="仿宋_GB2312" w:hAnsi="宋体" w:eastAsia="仿宋_GB2312" w:cs="宋体"/>
          <w:color w:val="auto"/>
          <w:sz w:val="32"/>
          <w:szCs w:val="32"/>
        </w:rPr>
        <w:t>第十</w:t>
      </w:r>
      <w:r>
        <w:rPr>
          <w:rFonts w:hint="eastAsia" w:ascii="仿宋_GB2312" w:hAnsi="宋体" w:eastAsia="仿宋_GB2312" w:cs="宋体"/>
          <w:color w:val="auto"/>
          <w:sz w:val="32"/>
          <w:szCs w:val="32"/>
          <w:lang w:eastAsia="zh-CN"/>
        </w:rPr>
        <w:t>八</w:t>
      </w:r>
      <w:r>
        <w:rPr>
          <w:rFonts w:hint="eastAsia" w:ascii="仿宋_GB2312" w:hAnsi="宋体" w:eastAsia="仿宋_GB2312" w:cs="宋体"/>
          <w:color w:val="auto"/>
          <w:sz w:val="32"/>
          <w:szCs w:val="32"/>
        </w:rPr>
        <w:t>条</w:t>
      </w:r>
      <w:r>
        <w:rPr>
          <w:rFonts w:ascii="仿宋_GB2312" w:hAnsi="宋体" w:eastAsia="仿宋_GB2312" w:cs="宋体"/>
          <w:color w:val="auto"/>
          <w:sz w:val="32"/>
          <w:szCs w:val="32"/>
        </w:rPr>
        <w:t xml:space="preserve"> </w:t>
      </w:r>
      <w:r>
        <w:rPr>
          <w:rFonts w:hint="eastAsia" w:ascii="仿宋_GB2312" w:hAnsi="宋体" w:eastAsia="仿宋_GB2312" w:cs="宋体"/>
          <w:color w:val="auto"/>
          <w:sz w:val="32"/>
          <w:szCs w:val="32"/>
        </w:rPr>
        <w:t>本办法自发布之日起实施，适时进行修订</w:t>
      </w:r>
      <w:r>
        <w:rPr>
          <w:rFonts w:hint="eastAsia" w:ascii="仿宋_GB2312" w:hAnsi="宋体" w:eastAsia="仿宋_GB2312"/>
          <w:color w:val="auto"/>
          <w:sz w:val="32"/>
          <w:szCs w:val="32"/>
        </w:rPr>
        <w:t>。在此期间若专项资金取消，则本办法自然失效。</w:t>
      </w:r>
    </w:p>
    <w:p>
      <w:pPr>
        <w:adjustRightInd w:val="0"/>
        <w:snapToGrid w:val="0"/>
        <w:spacing w:line="560" w:lineRule="exact"/>
        <w:ind w:firstLine="640" w:firstLineChars="200"/>
        <w:rPr>
          <w:rFonts w:ascii="仿宋_GB2312" w:eastAsia="仿宋_GB2312"/>
          <w:color w:val="auto"/>
          <w:sz w:val="32"/>
          <w:szCs w:val="32"/>
        </w:rPr>
      </w:pPr>
      <w:r>
        <w:rPr>
          <w:rFonts w:hint="eastAsia" w:ascii="仿宋_GB2312" w:hAnsi="宋体" w:eastAsia="仿宋_GB2312"/>
          <w:color w:val="auto"/>
          <w:sz w:val="32"/>
          <w:szCs w:val="32"/>
        </w:rPr>
        <w:t>第十</w:t>
      </w:r>
      <w:r>
        <w:rPr>
          <w:rFonts w:hint="eastAsia" w:ascii="仿宋_GB2312" w:hAnsi="宋体" w:eastAsia="仿宋_GB2312"/>
          <w:color w:val="auto"/>
          <w:sz w:val="32"/>
          <w:szCs w:val="32"/>
          <w:lang w:eastAsia="zh-CN"/>
        </w:rPr>
        <w:t>九</w:t>
      </w:r>
      <w:r>
        <w:rPr>
          <w:rFonts w:hint="eastAsia" w:ascii="仿宋_GB2312" w:hAnsi="宋体" w:eastAsia="仿宋_GB2312"/>
          <w:color w:val="auto"/>
          <w:sz w:val="32"/>
          <w:szCs w:val="32"/>
        </w:rPr>
        <w:t>条</w:t>
      </w:r>
      <w:r>
        <w:rPr>
          <w:rFonts w:ascii="仿宋_GB2312" w:hAnsi="宋体" w:eastAsia="仿宋_GB2312"/>
          <w:color w:val="auto"/>
          <w:sz w:val="32"/>
          <w:szCs w:val="32"/>
        </w:rPr>
        <w:t xml:space="preserve"> </w:t>
      </w:r>
      <w:r>
        <w:rPr>
          <w:rFonts w:hint="eastAsia" w:ascii="仿宋_GB2312" w:hAnsi="宋体" w:eastAsia="仿宋_GB2312"/>
          <w:color w:val="auto"/>
          <w:sz w:val="32"/>
          <w:szCs w:val="32"/>
        </w:rPr>
        <w:t>本办法</w:t>
      </w:r>
      <w:r>
        <w:rPr>
          <w:rFonts w:hint="eastAsia" w:ascii="仿宋_GB2312" w:hAnsi="宋体" w:eastAsia="仿宋_GB2312" w:cs="宋体"/>
          <w:color w:val="auto"/>
          <w:sz w:val="32"/>
          <w:szCs w:val="32"/>
        </w:rPr>
        <w:t>由市口岸办、市财政局负责解释</w:t>
      </w:r>
      <w:bookmarkStart w:id="0" w:name="OLE_LINK10"/>
      <w:r>
        <w:rPr>
          <w:rFonts w:hint="eastAsia" w:ascii="仿宋_GB2312" w:hAnsi="宋体" w:eastAsia="仿宋_GB2312" w:cs="宋体"/>
          <w:color w:val="auto"/>
          <w:sz w:val="32"/>
          <w:szCs w:val="32"/>
        </w:rPr>
        <w:t>。</w:t>
      </w:r>
      <w:bookmarkEnd w:id="0"/>
    </w:p>
    <w:sectPr>
      <w:footerReference r:id="rId5" w:type="first"/>
      <w:footerReference r:id="rId3" w:type="default"/>
      <w:footerReference r:id="rId4" w:type="even"/>
      <w:pgSz w:w="11906" w:h="16838"/>
      <w:pgMar w:top="2098" w:right="1474" w:bottom="181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-180975</wp:posOffset>
              </wp:positionV>
              <wp:extent cx="685165" cy="312420"/>
              <wp:effectExtent l="0" t="0" r="635" b="1905"/>
              <wp:wrapNone/>
              <wp:docPr id="2" name="文本框 1026"/>
              <wp:cNvGraphicFramePr/>
              <a:graphic xmlns:a="http://schemas.openxmlformats.org/drawingml/2006/main">
                <a:graphicData uri="http://schemas.microsoft.com/office/word/2010/wordprocessingShape">
                  <wps:wsp>
                    <wps:cNvSpPr>
                      <a:spLocks noChangeArrowheads="1"/>
                    </wps:cNvSpPr>
                    <wps:spPr bwMode="auto">
                      <a:xfrm>
                        <a:off x="0" y="0"/>
                        <a:ext cx="685165" cy="312420"/>
                      </a:xfrm>
                      <a:prstGeom prst="rect">
                        <a:avLst/>
                      </a:prstGeom>
                      <a:noFill/>
                      <a:ln>
                        <a:noFill/>
                      </a:ln>
                    </wps:spPr>
                    <wps:txbx>
                      <w:txbxContent>
                        <w:p>
                          <w:pPr>
                            <w:pStyle w:val="10"/>
                            <w:rPr>
                              <w:rStyle w:val="13"/>
                              <w:rFonts w:ascii="宋体" w:hAnsi="宋体" w:cs="宋体"/>
                              <w:sz w:val="28"/>
                              <w:szCs w:val="28"/>
                            </w:rPr>
                          </w:pPr>
                          <w:r>
                            <w:rPr>
                              <w:rStyle w:val="13"/>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Style w:val="13"/>
                              <w:rFonts w:hint="eastAsia" w:ascii="宋体" w:hAnsi="宋体" w:cs="宋体"/>
                              <w:sz w:val="28"/>
                              <w:szCs w:val="28"/>
                            </w:rPr>
                            <w:fldChar w:fldCharType="separate"/>
                          </w:r>
                          <w:r>
                            <w:rPr>
                              <w:rStyle w:val="13"/>
                              <w:rFonts w:ascii="宋体" w:hAnsi="宋体" w:cs="宋体"/>
                              <w:sz w:val="28"/>
                              <w:szCs w:val="28"/>
                            </w:rPr>
                            <w:t>- 7 -</w:t>
                          </w:r>
                          <w:r>
                            <w:rPr>
                              <w:rStyle w:val="13"/>
                              <w:rFonts w:hint="eastAsia" w:ascii="宋体" w:hAnsi="宋体" w:cs="宋体"/>
                              <w:sz w:val="28"/>
                              <w:szCs w:val="28"/>
                            </w:rPr>
                            <w:fldChar w:fldCharType="end"/>
                          </w:r>
                        </w:p>
                      </w:txbxContent>
                    </wps:txbx>
                    <wps:bodyPr rot="0" vert="horz" wrap="square" lIns="0" tIns="0" rIns="0" bIns="0" anchor="t" anchorCtr="0" upright="1">
                      <a:noAutofit/>
                    </wps:bodyPr>
                  </wps:wsp>
                </a:graphicData>
              </a:graphic>
            </wp:anchor>
          </w:drawing>
        </mc:Choice>
        <mc:Fallback>
          <w:pict>
            <v:rect id="文本框 1026" o:spid="_x0000_s1026" o:spt="1" style="position:absolute;left:0pt;margin-top:-14.25pt;height:24.6pt;width:53.95pt;mso-position-horizontal:outside;mso-position-horizontal-relative:margin;z-index:251658240;mso-width-relative:page;mso-height-relative:page;" filled="f" stroked="f" coordsize="21600,21600" o:gfxdata="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pGaso2AAAAAcBAAAPAAAAAAAAAAEAIAAAACIAAABkcnMvZG93bnJldi54bWxQSwECFAAUAAAA&#10;CACHTuJAQ1vgfe4BAACvAwAADgAAAAAAAAABACAAAAAnAQAAZHJzL2Uyb0RvYy54bWxQSwUGAAAA&#10;AAYABgBZAQAAhwUAAAAA&#10;">
              <v:fill on="f" focussize="0,0"/>
              <v:stroke on="f"/>
              <v:imagedata o:title=""/>
              <o:lock v:ext="edit" aspectratio="f"/>
              <v:textbox inset="0mm,0mm,0mm,0mm">
                <w:txbxContent>
                  <w:p>
                    <w:pPr>
                      <w:pStyle w:val="10"/>
                      <w:rPr>
                        <w:rStyle w:val="13"/>
                        <w:rFonts w:ascii="宋体" w:hAnsi="宋体" w:cs="宋体"/>
                        <w:sz w:val="28"/>
                        <w:szCs w:val="28"/>
                      </w:rPr>
                    </w:pPr>
                    <w:r>
                      <w:rPr>
                        <w:rStyle w:val="13"/>
                        <w:rFonts w:hint="eastAsia" w:ascii="宋体" w:hAnsi="宋体" w:cs="宋体"/>
                        <w:sz w:val="28"/>
                        <w:szCs w:val="28"/>
                      </w:rPr>
                      <w:fldChar w:fldCharType="begin"/>
                    </w:r>
                    <w:r>
                      <w:rPr>
                        <w:rStyle w:val="13"/>
                        <w:rFonts w:hint="eastAsia" w:ascii="宋体" w:hAnsi="宋体" w:cs="宋体"/>
                        <w:sz w:val="28"/>
                        <w:szCs w:val="28"/>
                      </w:rPr>
                      <w:instrText xml:space="preserve">PAGE  </w:instrText>
                    </w:r>
                    <w:r>
                      <w:rPr>
                        <w:rStyle w:val="13"/>
                        <w:rFonts w:hint="eastAsia" w:ascii="宋体" w:hAnsi="宋体" w:cs="宋体"/>
                        <w:sz w:val="28"/>
                        <w:szCs w:val="28"/>
                      </w:rPr>
                      <w:fldChar w:fldCharType="separate"/>
                    </w:r>
                    <w:r>
                      <w:rPr>
                        <w:rStyle w:val="13"/>
                        <w:rFonts w:ascii="宋体" w:hAnsi="宋体" w:cs="宋体"/>
                        <w:sz w:val="28"/>
                        <w:szCs w:val="28"/>
                      </w:rPr>
                      <w:t>- 7 -</w:t>
                    </w:r>
                    <w:r>
                      <w:rPr>
                        <w:rStyle w:val="13"/>
                        <w:rFonts w:hint="eastAsia" w:ascii="宋体" w:hAnsi="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-161290</wp:posOffset>
              </wp:positionV>
              <wp:extent cx="657225" cy="292735"/>
              <wp:effectExtent l="0" t="635" r="0" b="1905"/>
              <wp:wrapNone/>
              <wp:docPr id="1" name="文本框 1025"/>
              <wp:cNvGraphicFramePr/>
              <a:graphic xmlns:a="http://schemas.openxmlformats.org/drawingml/2006/main">
                <a:graphicData uri="http://schemas.microsoft.com/office/word/2010/wordprocessingShape">
                  <wps:wsp>
                    <wps:cNvSpPr>
                      <a:spLocks noChangeArrowheads="1"/>
                    </wps:cNvSpPr>
                    <wps:spPr bwMode="auto">
                      <a:xfrm>
                        <a:off x="0" y="0"/>
                        <a:ext cx="657225" cy="292735"/>
                      </a:xfrm>
                      <a:prstGeom prst="rect">
                        <a:avLst/>
                      </a:prstGeom>
                      <a:noFill/>
                      <a:ln>
                        <a:noFill/>
                      </a:ln>
                    </wps:spPr>
                    <wps:txbx>
                      <w:txbxContent>
                        <w:p>
                          <w:pPr>
                            <w:pStyle w:val="1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vert="horz" wrap="square" lIns="0" tIns="0" rIns="0" bIns="0" anchor="t" anchorCtr="0" upright="1">
                      <a:noAutofit/>
                    </wps:bodyPr>
                  </wps:wsp>
                </a:graphicData>
              </a:graphic>
            </wp:anchor>
          </w:drawing>
        </mc:Choice>
        <mc:Fallback>
          <w:pict>
            <v:rect id="文本框 1025" o:spid="_x0000_s1026" o:spt="1" style="position:absolute;left:0pt;margin-top:-12.7pt;height:23.05pt;width:51.75pt;mso-position-horizontal:outside;mso-position-horizontal-relative:margin;z-index:251659264;mso-width-relative:page;mso-height-relative:page;" filled="f" stroked="f" coordsize="21600,21600" o:gfxdata="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ZaMoq2AAAAAcBAAAPAAAAAAAAAAEAIAAAACIAAABkcnMvZG93bnJldi54bWxQSwECFAAUAAAA&#10;CACHTuJAMXJKE+4BAACvAwAADgAAAAAAAAABACAAAAAnAQAAZHJzL2Uyb0RvYy54bWxQSwUGAAAA&#10;AAYABgBZAQAAhwUAAAAA&#10;">
              <v:fill on="f" focussize="0,0"/>
              <v:stroke on="f"/>
              <v:imagedata o:title=""/>
              <o:lock v:ext="edit" aspectratio="f"/>
              <v:textbox inset="0mm,0mm,0mm,0mm">
                <w:txbxContent>
                  <w:p>
                    <w:pPr>
                      <w:pStyle w:val="1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44445"/>
    <w:multiLevelType w:val="singleLevel"/>
    <w:tmpl w:val="AF444445"/>
    <w:lvl w:ilvl="0" w:tentative="0">
      <w:start w:val="6"/>
      <w:numFmt w:val="chineseCounting"/>
      <w:suff w:val="space"/>
      <w:lvlText w:val="第%1条"/>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EA"/>
    <w:rsid w:val="000118F7"/>
    <w:rsid w:val="00024554"/>
    <w:rsid w:val="00032B99"/>
    <w:rsid w:val="00040738"/>
    <w:rsid w:val="0004247C"/>
    <w:rsid w:val="00043824"/>
    <w:rsid w:val="00047AD4"/>
    <w:rsid w:val="0006134F"/>
    <w:rsid w:val="00091365"/>
    <w:rsid w:val="0009400F"/>
    <w:rsid w:val="00094257"/>
    <w:rsid w:val="000A16FD"/>
    <w:rsid w:val="000C7987"/>
    <w:rsid w:val="000C7CEA"/>
    <w:rsid w:val="000D7D2E"/>
    <w:rsid w:val="00101794"/>
    <w:rsid w:val="00102FFB"/>
    <w:rsid w:val="00103907"/>
    <w:rsid w:val="00117377"/>
    <w:rsid w:val="0012662A"/>
    <w:rsid w:val="00141712"/>
    <w:rsid w:val="00151D50"/>
    <w:rsid w:val="001526E2"/>
    <w:rsid w:val="00155C3E"/>
    <w:rsid w:val="00156C05"/>
    <w:rsid w:val="001579E5"/>
    <w:rsid w:val="00165531"/>
    <w:rsid w:val="00187B38"/>
    <w:rsid w:val="00193522"/>
    <w:rsid w:val="001A285E"/>
    <w:rsid w:val="001A73FE"/>
    <w:rsid w:val="001B67E3"/>
    <w:rsid w:val="001C00B7"/>
    <w:rsid w:val="001D73F4"/>
    <w:rsid w:val="001E137F"/>
    <w:rsid w:val="001E2F8B"/>
    <w:rsid w:val="001F369B"/>
    <w:rsid w:val="00202F12"/>
    <w:rsid w:val="0020577C"/>
    <w:rsid w:val="002116F9"/>
    <w:rsid w:val="002118D5"/>
    <w:rsid w:val="00215A68"/>
    <w:rsid w:val="00232F27"/>
    <w:rsid w:val="00235994"/>
    <w:rsid w:val="00236C89"/>
    <w:rsid w:val="002468E4"/>
    <w:rsid w:val="00251DAB"/>
    <w:rsid w:val="0025776F"/>
    <w:rsid w:val="00277824"/>
    <w:rsid w:val="00293461"/>
    <w:rsid w:val="002C1DF5"/>
    <w:rsid w:val="002C6767"/>
    <w:rsid w:val="002D3AE3"/>
    <w:rsid w:val="002D6EB8"/>
    <w:rsid w:val="002D7B1E"/>
    <w:rsid w:val="002F4F74"/>
    <w:rsid w:val="002F52DD"/>
    <w:rsid w:val="002F7A8D"/>
    <w:rsid w:val="00313078"/>
    <w:rsid w:val="00322033"/>
    <w:rsid w:val="00326536"/>
    <w:rsid w:val="00356B54"/>
    <w:rsid w:val="00356F3C"/>
    <w:rsid w:val="00361A62"/>
    <w:rsid w:val="00367219"/>
    <w:rsid w:val="003826C0"/>
    <w:rsid w:val="003937F8"/>
    <w:rsid w:val="003943DD"/>
    <w:rsid w:val="003A0C6E"/>
    <w:rsid w:val="003A4FB7"/>
    <w:rsid w:val="003B4FFF"/>
    <w:rsid w:val="003C09E3"/>
    <w:rsid w:val="003C4517"/>
    <w:rsid w:val="003E45F8"/>
    <w:rsid w:val="003F0625"/>
    <w:rsid w:val="003F6AF5"/>
    <w:rsid w:val="0041269D"/>
    <w:rsid w:val="0042586F"/>
    <w:rsid w:val="0043286D"/>
    <w:rsid w:val="00437274"/>
    <w:rsid w:val="004403C2"/>
    <w:rsid w:val="00454CB7"/>
    <w:rsid w:val="00455330"/>
    <w:rsid w:val="0046055E"/>
    <w:rsid w:val="00470AFF"/>
    <w:rsid w:val="00472C75"/>
    <w:rsid w:val="00477FBB"/>
    <w:rsid w:val="0048547E"/>
    <w:rsid w:val="00492C02"/>
    <w:rsid w:val="00492D58"/>
    <w:rsid w:val="00494319"/>
    <w:rsid w:val="0049561D"/>
    <w:rsid w:val="004A22F2"/>
    <w:rsid w:val="004B05AE"/>
    <w:rsid w:val="004C4338"/>
    <w:rsid w:val="004C5A38"/>
    <w:rsid w:val="004D15AC"/>
    <w:rsid w:val="004D6812"/>
    <w:rsid w:val="004F45C0"/>
    <w:rsid w:val="004F7E93"/>
    <w:rsid w:val="005044A0"/>
    <w:rsid w:val="00510805"/>
    <w:rsid w:val="00523DDC"/>
    <w:rsid w:val="00530C76"/>
    <w:rsid w:val="00537ADE"/>
    <w:rsid w:val="00543916"/>
    <w:rsid w:val="005573B9"/>
    <w:rsid w:val="00561F5E"/>
    <w:rsid w:val="00562A3D"/>
    <w:rsid w:val="00564B07"/>
    <w:rsid w:val="005654B3"/>
    <w:rsid w:val="0056551D"/>
    <w:rsid w:val="005807B2"/>
    <w:rsid w:val="0059238C"/>
    <w:rsid w:val="00594199"/>
    <w:rsid w:val="00595E52"/>
    <w:rsid w:val="005A1F02"/>
    <w:rsid w:val="005A29AC"/>
    <w:rsid w:val="005A6910"/>
    <w:rsid w:val="005D540E"/>
    <w:rsid w:val="005D7A0F"/>
    <w:rsid w:val="005E4CC8"/>
    <w:rsid w:val="005E7C91"/>
    <w:rsid w:val="005F5025"/>
    <w:rsid w:val="00606E1B"/>
    <w:rsid w:val="00610CBA"/>
    <w:rsid w:val="00615381"/>
    <w:rsid w:val="00615861"/>
    <w:rsid w:val="006346FB"/>
    <w:rsid w:val="006423FE"/>
    <w:rsid w:val="00646F5A"/>
    <w:rsid w:val="0065668A"/>
    <w:rsid w:val="00664565"/>
    <w:rsid w:val="00674488"/>
    <w:rsid w:val="006778B1"/>
    <w:rsid w:val="00677A9B"/>
    <w:rsid w:val="006A2D64"/>
    <w:rsid w:val="006D0D3F"/>
    <w:rsid w:val="006E07AA"/>
    <w:rsid w:val="006E1A92"/>
    <w:rsid w:val="006E6589"/>
    <w:rsid w:val="0071784D"/>
    <w:rsid w:val="007200AD"/>
    <w:rsid w:val="007233B6"/>
    <w:rsid w:val="00723E05"/>
    <w:rsid w:val="0072498C"/>
    <w:rsid w:val="00726A81"/>
    <w:rsid w:val="00733CB1"/>
    <w:rsid w:val="0074068B"/>
    <w:rsid w:val="007439BA"/>
    <w:rsid w:val="00756A9C"/>
    <w:rsid w:val="007650CA"/>
    <w:rsid w:val="007707C2"/>
    <w:rsid w:val="007727AD"/>
    <w:rsid w:val="0077690B"/>
    <w:rsid w:val="00781A12"/>
    <w:rsid w:val="007A059B"/>
    <w:rsid w:val="007A0748"/>
    <w:rsid w:val="007B3CB3"/>
    <w:rsid w:val="007B718F"/>
    <w:rsid w:val="007E1FD1"/>
    <w:rsid w:val="007F526C"/>
    <w:rsid w:val="007F5E60"/>
    <w:rsid w:val="007F6250"/>
    <w:rsid w:val="007F69FA"/>
    <w:rsid w:val="008137B8"/>
    <w:rsid w:val="00825B5E"/>
    <w:rsid w:val="008275A6"/>
    <w:rsid w:val="00833425"/>
    <w:rsid w:val="00841E90"/>
    <w:rsid w:val="0084461B"/>
    <w:rsid w:val="00845DC8"/>
    <w:rsid w:val="0085455B"/>
    <w:rsid w:val="00861B3C"/>
    <w:rsid w:val="00862D41"/>
    <w:rsid w:val="00865DC1"/>
    <w:rsid w:val="008677F6"/>
    <w:rsid w:val="00875602"/>
    <w:rsid w:val="00887632"/>
    <w:rsid w:val="00894670"/>
    <w:rsid w:val="00896B2A"/>
    <w:rsid w:val="008A4315"/>
    <w:rsid w:val="008D5883"/>
    <w:rsid w:val="008E2BAE"/>
    <w:rsid w:val="008E3117"/>
    <w:rsid w:val="008F5580"/>
    <w:rsid w:val="0090264F"/>
    <w:rsid w:val="009078A1"/>
    <w:rsid w:val="00913ED6"/>
    <w:rsid w:val="00915393"/>
    <w:rsid w:val="00916AA8"/>
    <w:rsid w:val="0092691B"/>
    <w:rsid w:val="00941133"/>
    <w:rsid w:val="00947A91"/>
    <w:rsid w:val="00950658"/>
    <w:rsid w:val="00952A12"/>
    <w:rsid w:val="00954D45"/>
    <w:rsid w:val="00956895"/>
    <w:rsid w:val="009639D4"/>
    <w:rsid w:val="00972D27"/>
    <w:rsid w:val="009746B1"/>
    <w:rsid w:val="00975F83"/>
    <w:rsid w:val="009859A3"/>
    <w:rsid w:val="00996AB8"/>
    <w:rsid w:val="009A1FE0"/>
    <w:rsid w:val="009A7767"/>
    <w:rsid w:val="009B128D"/>
    <w:rsid w:val="009B287A"/>
    <w:rsid w:val="009B6AA0"/>
    <w:rsid w:val="009B7290"/>
    <w:rsid w:val="009B7537"/>
    <w:rsid w:val="00A118BF"/>
    <w:rsid w:val="00A330FB"/>
    <w:rsid w:val="00A45D6B"/>
    <w:rsid w:val="00A67C69"/>
    <w:rsid w:val="00A730DF"/>
    <w:rsid w:val="00A82A89"/>
    <w:rsid w:val="00A85500"/>
    <w:rsid w:val="00A8646D"/>
    <w:rsid w:val="00A87526"/>
    <w:rsid w:val="00A90F4F"/>
    <w:rsid w:val="00A935A5"/>
    <w:rsid w:val="00AA0EE0"/>
    <w:rsid w:val="00AA4D55"/>
    <w:rsid w:val="00AB6593"/>
    <w:rsid w:val="00AC5DA7"/>
    <w:rsid w:val="00AD02C8"/>
    <w:rsid w:val="00AD101A"/>
    <w:rsid w:val="00AD48CB"/>
    <w:rsid w:val="00AE534C"/>
    <w:rsid w:val="00AE5CA2"/>
    <w:rsid w:val="00AE6058"/>
    <w:rsid w:val="00AF1F80"/>
    <w:rsid w:val="00AF6693"/>
    <w:rsid w:val="00B03DCE"/>
    <w:rsid w:val="00B13D02"/>
    <w:rsid w:val="00B20AA4"/>
    <w:rsid w:val="00B31340"/>
    <w:rsid w:val="00B413CF"/>
    <w:rsid w:val="00B41895"/>
    <w:rsid w:val="00B41A5C"/>
    <w:rsid w:val="00B432BF"/>
    <w:rsid w:val="00B472EE"/>
    <w:rsid w:val="00B502A8"/>
    <w:rsid w:val="00B50413"/>
    <w:rsid w:val="00B532BE"/>
    <w:rsid w:val="00B563FF"/>
    <w:rsid w:val="00B63DC7"/>
    <w:rsid w:val="00B704D5"/>
    <w:rsid w:val="00B70625"/>
    <w:rsid w:val="00B70703"/>
    <w:rsid w:val="00B70BDB"/>
    <w:rsid w:val="00B72311"/>
    <w:rsid w:val="00B72FBD"/>
    <w:rsid w:val="00B73997"/>
    <w:rsid w:val="00B82211"/>
    <w:rsid w:val="00B83111"/>
    <w:rsid w:val="00B87ED9"/>
    <w:rsid w:val="00B9158C"/>
    <w:rsid w:val="00B96151"/>
    <w:rsid w:val="00BA339D"/>
    <w:rsid w:val="00BA41EE"/>
    <w:rsid w:val="00BA498B"/>
    <w:rsid w:val="00BB1260"/>
    <w:rsid w:val="00BB37B9"/>
    <w:rsid w:val="00BC0495"/>
    <w:rsid w:val="00BC0E5D"/>
    <w:rsid w:val="00BE1399"/>
    <w:rsid w:val="00BE700E"/>
    <w:rsid w:val="00C01464"/>
    <w:rsid w:val="00C03ED7"/>
    <w:rsid w:val="00C0489B"/>
    <w:rsid w:val="00C1228F"/>
    <w:rsid w:val="00C12628"/>
    <w:rsid w:val="00C159C9"/>
    <w:rsid w:val="00C16E4A"/>
    <w:rsid w:val="00C446D6"/>
    <w:rsid w:val="00C501C7"/>
    <w:rsid w:val="00C549D0"/>
    <w:rsid w:val="00C55060"/>
    <w:rsid w:val="00C6406D"/>
    <w:rsid w:val="00C709B8"/>
    <w:rsid w:val="00C74A53"/>
    <w:rsid w:val="00C8441C"/>
    <w:rsid w:val="00C925C6"/>
    <w:rsid w:val="00C930B4"/>
    <w:rsid w:val="00C97254"/>
    <w:rsid w:val="00CA1F04"/>
    <w:rsid w:val="00CA4E90"/>
    <w:rsid w:val="00CB1A1D"/>
    <w:rsid w:val="00CB319E"/>
    <w:rsid w:val="00CB7F37"/>
    <w:rsid w:val="00CD4686"/>
    <w:rsid w:val="00CD7B59"/>
    <w:rsid w:val="00CE43F7"/>
    <w:rsid w:val="00CE4DEF"/>
    <w:rsid w:val="00CF1B92"/>
    <w:rsid w:val="00CF58FB"/>
    <w:rsid w:val="00CF5ABF"/>
    <w:rsid w:val="00CF6BD1"/>
    <w:rsid w:val="00CF778A"/>
    <w:rsid w:val="00D05C4F"/>
    <w:rsid w:val="00D331C0"/>
    <w:rsid w:val="00D528CD"/>
    <w:rsid w:val="00D9230B"/>
    <w:rsid w:val="00DB5ABE"/>
    <w:rsid w:val="00DC28AB"/>
    <w:rsid w:val="00DC3119"/>
    <w:rsid w:val="00DD4274"/>
    <w:rsid w:val="00DD5D78"/>
    <w:rsid w:val="00DD78FD"/>
    <w:rsid w:val="00DE2E0C"/>
    <w:rsid w:val="00DF508D"/>
    <w:rsid w:val="00E0011B"/>
    <w:rsid w:val="00E01E6C"/>
    <w:rsid w:val="00E066BC"/>
    <w:rsid w:val="00E067AE"/>
    <w:rsid w:val="00E41A27"/>
    <w:rsid w:val="00E452D8"/>
    <w:rsid w:val="00E501CD"/>
    <w:rsid w:val="00E6280A"/>
    <w:rsid w:val="00E6290F"/>
    <w:rsid w:val="00E848B7"/>
    <w:rsid w:val="00E85249"/>
    <w:rsid w:val="00E9031C"/>
    <w:rsid w:val="00E92AF3"/>
    <w:rsid w:val="00EA33F1"/>
    <w:rsid w:val="00EA404E"/>
    <w:rsid w:val="00EA4073"/>
    <w:rsid w:val="00EA7B19"/>
    <w:rsid w:val="00EC51EB"/>
    <w:rsid w:val="00ED13A9"/>
    <w:rsid w:val="00ED5789"/>
    <w:rsid w:val="00EE3900"/>
    <w:rsid w:val="00EE6480"/>
    <w:rsid w:val="00EF0893"/>
    <w:rsid w:val="00EF3C26"/>
    <w:rsid w:val="00EF6163"/>
    <w:rsid w:val="00F04FB6"/>
    <w:rsid w:val="00F11B75"/>
    <w:rsid w:val="00F11C91"/>
    <w:rsid w:val="00F12424"/>
    <w:rsid w:val="00F16C39"/>
    <w:rsid w:val="00F17876"/>
    <w:rsid w:val="00F22428"/>
    <w:rsid w:val="00F23DB7"/>
    <w:rsid w:val="00F241BE"/>
    <w:rsid w:val="00F30497"/>
    <w:rsid w:val="00F31485"/>
    <w:rsid w:val="00F36274"/>
    <w:rsid w:val="00F40F90"/>
    <w:rsid w:val="00F46FDC"/>
    <w:rsid w:val="00F51525"/>
    <w:rsid w:val="00F52A34"/>
    <w:rsid w:val="00F52FE5"/>
    <w:rsid w:val="00F622DE"/>
    <w:rsid w:val="00F63C8E"/>
    <w:rsid w:val="00F73A15"/>
    <w:rsid w:val="00F8070E"/>
    <w:rsid w:val="00F81B8D"/>
    <w:rsid w:val="00F83AE2"/>
    <w:rsid w:val="00F9152F"/>
    <w:rsid w:val="00F9439B"/>
    <w:rsid w:val="00FA5D7E"/>
    <w:rsid w:val="00FB38CC"/>
    <w:rsid w:val="00FB79C3"/>
    <w:rsid w:val="00FC425C"/>
    <w:rsid w:val="00FD4889"/>
    <w:rsid w:val="00FD6927"/>
    <w:rsid w:val="00FD7D1B"/>
    <w:rsid w:val="00FE1F78"/>
    <w:rsid w:val="0106790F"/>
    <w:rsid w:val="0134499B"/>
    <w:rsid w:val="015A6E5E"/>
    <w:rsid w:val="01617346"/>
    <w:rsid w:val="01CB0871"/>
    <w:rsid w:val="02726E1E"/>
    <w:rsid w:val="027900F0"/>
    <w:rsid w:val="02BC18A7"/>
    <w:rsid w:val="035D6BB7"/>
    <w:rsid w:val="0389654F"/>
    <w:rsid w:val="03D61338"/>
    <w:rsid w:val="0401022E"/>
    <w:rsid w:val="04397FC1"/>
    <w:rsid w:val="045E3B7E"/>
    <w:rsid w:val="04FA4625"/>
    <w:rsid w:val="05167185"/>
    <w:rsid w:val="052240CF"/>
    <w:rsid w:val="055A0503"/>
    <w:rsid w:val="05F53B91"/>
    <w:rsid w:val="06286545"/>
    <w:rsid w:val="062E042E"/>
    <w:rsid w:val="062E56B9"/>
    <w:rsid w:val="06564319"/>
    <w:rsid w:val="07FF35CB"/>
    <w:rsid w:val="081D034B"/>
    <w:rsid w:val="084A1915"/>
    <w:rsid w:val="08554326"/>
    <w:rsid w:val="086E7B2C"/>
    <w:rsid w:val="090D0879"/>
    <w:rsid w:val="090D21F2"/>
    <w:rsid w:val="0977379B"/>
    <w:rsid w:val="0A122742"/>
    <w:rsid w:val="0A186690"/>
    <w:rsid w:val="0B0A04E4"/>
    <w:rsid w:val="0B0C3156"/>
    <w:rsid w:val="0B9F664E"/>
    <w:rsid w:val="0BDD0B2A"/>
    <w:rsid w:val="0C3139DF"/>
    <w:rsid w:val="0CC63F1C"/>
    <w:rsid w:val="0D0E145B"/>
    <w:rsid w:val="0D3C647D"/>
    <w:rsid w:val="0D4F3E45"/>
    <w:rsid w:val="0DE979D6"/>
    <w:rsid w:val="0E1D1B9C"/>
    <w:rsid w:val="0E2C62CC"/>
    <w:rsid w:val="0E300259"/>
    <w:rsid w:val="0E5D45AE"/>
    <w:rsid w:val="0E87568E"/>
    <w:rsid w:val="0EA73B02"/>
    <w:rsid w:val="0EE77834"/>
    <w:rsid w:val="0FAA13C0"/>
    <w:rsid w:val="101E3EC0"/>
    <w:rsid w:val="10A71BF4"/>
    <w:rsid w:val="11141C8C"/>
    <w:rsid w:val="11F91E30"/>
    <w:rsid w:val="127F5175"/>
    <w:rsid w:val="12890975"/>
    <w:rsid w:val="12B01BA6"/>
    <w:rsid w:val="12C24229"/>
    <w:rsid w:val="137403FB"/>
    <w:rsid w:val="13C106AD"/>
    <w:rsid w:val="13D163FE"/>
    <w:rsid w:val="1476686B"/>
    <w:rsid w:val="14EE20F6"/>
    <w:rsid w:val="1537487A"/>
    <w:rsid w:val="157F7127"/>
    <w:rsid w:val="159F60A4"/>
    <w:rsid w:val="168D74BF"/>
    <w:rsid w:val="16B42FA2"/>
    <w:rsid w:val="16DD238D"/>
    <w:rsid w:val="16EF05F5"/>
    <w:rsid w:val="17410102"/>
    <w:rsid w:val="174E18D3"/>
    <w:rsid w:val="176D7114"/>
    <w:rsid w:val="17A8098B"/>
    <w:rsid w:val="17C65F17"/>
    <w:rsid w:val="180A722B"/>
    <w:rsid w:val="183B2EB6"/>
    <w:rsid w:val="1899618C"/>
    <w:rsid w:val="18DE6C54"/>
    <w:rsid w:val="191828C5"/>
    <w:rsid w:val="19522EEE"/>
    <w:rsid w:val="197418E7"/>
    <w:rsid w:val="19C40D1C"/>
    <w:rsid w:val="1A862D28"/>
    <w:rsid w:val="1B036DE0"/>
    <w:rsid w:val="1B326A94"/>
    <w:rsid w:val="1B6557F9"/>
    <w:rsid w:val="1B961989"/>
    <w:rsid w:val="1BCF20BC"/>
    <w:rsid w:val="1C514E60"/>
    <w:rsid w:val="1C65127A"/>
    <w:rsid w:val="1CE17354"/>
    <w:rsid w:val="1D1B586F"/>
    <w:rsid w:val="1D4A15C9"/>
    <w:rsid w:val="1D7C0956"/>
    <w:rsid w:val="1E027A21"/>
    <w:rsid w:val="1E471981"/>
    <w:rsid w:val="1E8F7D4D"/>
    <w:rsid w:val="1EB5142C"/>
    <w:rsid w:val="1EE46451"/>
    <w:rsid w:val="1EF7445B"/>
    <w:rsid w:val="1EF74C27"/>
    <w:rsid w:val="1FA67585"/>
    <w:rsid w:val="1FC45386"/>
    <w:rsid w:val="1FFC3CCA"/>
    <w:rsid w:val="212A1EA1"/>
    <w:rsid w:val="21700DCD"/>
    <w:rsid w:val="21EF43F2"/>
    <w:rsid w:val="2219322A"/>
    <w:rsid w:val="22A47796"/>
    <w:rsid w:val="22DB38DC"/>
    <w:rsid w:val="22F32092"/>
    <w:rsid w:val="23187514"/>
    <w:rsid w:val="23573BAC"/>
    <w:rsid w:val="23835746"/>
    <w:rsid w:val="23C87E7B"/>
    <w:rsid w:val="23E8697F"/>
    <w:rsid w:val="242218D0"/>
    <w:rsid w:val="243B58A3"/>
    <w:rsid w:val="249246C6"/>
    <w:rsid w:val="24A571D1"/>
    <w:rsid w:val="24FD17E2"/>
    <w:rsid w:val="252C00AE"/>
    <w:rsid w:val="26E66743"/>
    <w:rsid w:val="26E942CA"/>
    <w:rsid w:val="272A2DBD"/>
    <w:rsid w:val="27470882"/>
    <w:rsid w:val="28C70C32"/>
    <w:rsid w:val="292E6DF5"/>
    <w:rsid w:val="29465F94"/>
    <w:rsid w:val="29FF1016"/>
    <w:rsid w:val="2A373BF0"/>
    <w:rsid w:val="2AAC60C7"/>
    <w:rsid w:val="2B651BF3"/>
    <w:rsid w:val="2B9009E1"/>
    <w:rsid w:val="2BA61F4F"/>
    <w:rsid w:val="2BAB1341"/>
    <w:rsid w:val="2C7C77FF"/>
    <w:rsid w:val="2CC35D21"/>
    <w:rsid w:val="2CD72F91"/>
    <w:rsid w:val="2CE465F6"/>
    <w:rsid w:val="2D4114D1"/>
    <w:rsid w:val="2D96151B"/>
    <w:rsid w:val="2DB0430A"/>
    <w:rsid w:val="2DCD6390"/>
    <w:rsid w:val="2DFE6809"/>
    <w:rsid w:val="2EBA51EE"/>
    <w:rsid w:val="2ECE5516"/>
    <w:rsid w:val="2ED757AB"/>
    <w:rsid w:val="2EF77ABC"/>
    <w:rsid w:val="2F3111B5"/>
    <w:rsid w:val="2FC12AC3"/>
    <w:rsid w:val="309926F3"/>
    <w:rsid w:val="30BC1AD8"/>
    <w:rsid w:val="30C404C3"/>
    <w:rsid w:val="30E016C3"/>
    <w:rsid w:val="30E16B8B"/>
    <w:rsid w:val="315C18E2"/>
    <w:rsid w:val="31B309A5"/>
    <w:rsid w:val="3203100E"/>
    <w:rsid w:val="32596F1F"/>
    <w:rsid w:val="32674AC7"/>
    <w:rsid w:val="329B183A"/>
    <w:rsid w:val="329E4D15"/>
    <w:rsid w:val="32E624A0"/>
    <w:rsid w:val="32FC138C"/>
    <w:rsid w:val="347D42B7"/>
    <w:rsid w:val="356726AF"/>
    <w:rsid w:val="35C95557"/>
    <w:rsid w:val="36466377"/>
    <w:rsid w:val="366A3395"/>
    <w:rsid w:val="367B1D16"/>
    <w:rsid w:val="36973FF6"/>
    <w:rsid w:val="36A23AB6"/>
    <w:rsid w:val="374D6F1D"/>
    <w:rsid w:val="375707CA"/>
    <w:rsid w:val="375C0E6C"/>
    <w:rsid w:val="38836F9A"/>
    <w:rsid w:val="38A422A6"/>
    <w:rsid w:val="39795253"/>
    <w:rsid w:val="39AC37B3"/>
    <w:rsid w:val="39B10691"/>
    <w:rsid w:val="39F57090"/>
    <w:rsid w:val="3A057600"/>
    <w:rsid w:val="3A35770C"/>
    <w:rsid w:val="3AF36908"/>
    <w:rsid w:val="3B142D63"/>
    <w:rsid w:val="3B2D2D84"/>
    <w:rsid w:val="3B3450E9"/>
    <w:rsid w:val="3D4F0C18"/>
    <w:rsid w:val="3D5D77C9"/>
    <w:rsid w:val="3D661A63"/>
    <w:rsid w:val="3ED50333"/>
    <w:rsid w:val="3F377D6C"/>
    <w:rsid w:val="3F71040F"/>
    <w:rsid w:val="3F951D44"/>
    <w:rsid w:val="3FED26A6"/>
    <w:rsid w:val="40267CDF"/>
    <w:rsid w:val="40D97D5C"/>
    <w:rsid w:val="41497844"/>
    <w:rsid w:val="42165C65"/>
    <w:rsid w:val="422E12DA"/>
    <w:rsid w:val="42366EA2"/>
    <w:rsid w:val="423D7F33"/>
    <w:rsid w:val="427A0576"/>
    <w:rsid w:val="42F01820"/>
    <w:rsid w:val="43B6266B"/>
    <w:rsid w:val="44F6252E"/>
    <w:rsid w:val="45506D19"/>
    <w:rsid w:val="4556376C"/>
    <w:rsid w:val="455849EF"/>
    <w:rsid w:val="460C4DE9"/>
    <w:rsid w:val="464067AE"/>
    <w:rsid w:val="464234E0"/>
    <w:rsid w:val="465A694D"/>
    <w:rsid w:val="465E1749"/>
    <w:rsid w:val="467E5BB0"/>
    <w:rsid w:val="47477484"/>
    <w:rsid w:val="47BB55CE"/>
    <w:rsid w:val="47DC118C"/>
    <w:rsid w:val="48B74BE5"/>
    <w:rsid w:val="495855D7"/>
    <w:rsid w:val="49C16AE1"/>
    <w:rsid w:val="4A29609C"/>
    <w:rsid w:val="4A2A34F9"/>
    <w:rsid w:val="4A657A5E"/>
    <w:rsid w:val="4A8968AB"/>
    <w:rsid w:val="4B3956C6"/>
    <w:rsid w:val="4B5166C7"/>
    <w:rsid w:val="4B8B57FE"/>
    <w:rsid w:val="4D3871A6"/>
    <w:rsid w:val="4D5561A4"/>
    <w:rsid w:val="4D715546"/>
    <w:rsid w:val="4E602D29"/>
    <w:rsid w:val="4E9F1296"/>
    <w:rsid w:val="4EA06209"/>
    <w:rsid w:val="4EC82EFD"/>
    <w:rsid w:val="4ED64049"/>
    <w:rsid w:val="4FA817B5"/>
    <w:rsid w:val="50166463"/>
    <w:rsid w:val="50440785"/>
    <w:rsid w:val="50511701"/>
    <w:rsid w:val="50EA5B60"/>
    <w:rsid w:val="513117EF"/>
    <w:rsid w:val="517823DF"/>
    <w:rsid w:val="518F278E"/>
    <w:rsid w:val="51EF3D98"/>
    <w:rsid w:val="52814431"/>
    <w:rsid w:val="528C6018"/>
    <w:rsid w:val="52953FFD"/>
    <w:rsid w:val="52C24962"/>
    <w:rsid w:val="5323326B"/>
    <w:rsid w:val="53433071"/>
    <w:rsid w:val="53ED1008"/>
    <w:rsid w:val="54410BB6"/>
    <w:rsid w:val="54551116"/>
    <w:rsid w:val="54B837FB"/>
    <w:rsid w:val="54DB6E25"/>
    <w:rsid w:val="55295D23"/>
    <w:rsid w:val="5534379B"/>
    <w:rsid w:val="553B0C52"/>
    <w:rsid w:val="556A2570"/>
    <w:rsid w:val="55AC5DDA"/>
    <w:rsid w:val="55F71A33"/>
    <w:rsid w:val="56900729"/>
    <w:rsid w:val="573159A9"/>
    <w:rsid w:val="573F550F"/>
    <w:rsid w:val="57563347"/>
    <w:rsid w:val="57C64DFE"/>
    <w:rsid w:val="582D00FE"/>
    <w:rsid w:val="58414FF5"/>
    <w:rsid w:val="586102CE"/>
    <w:rsid w:val="590900CA"/>
    <w:rsid w:val="59C640FF"/>
    <w:rsid w:val="5AB6487A"/>
    <w:rsid w:val="5ADC45B6"/>
    <w:rsid w:val="5AE15BDA"/>
    <w:rsid w:val="5AE7651E"/>
    <w:rsid w:val="5B021CC0"/>
    <w:rsid w:val="5B100C2B"/>
    <w:rsid w:val="5B6E5F2F"/>
    <w:rsid w:val="5BC12F70"/>
    <w:rsid w:val="5BDA7D27"/>
    <w:rsid w:val="5BE42608"/>
    <w:rsid w:val="5C7C7378"/>
    <w:rsid w:val="5D12001A"/>
    <w:rsid w:val="5D332D67"/>
    <w:rsid w:val="5D636682"/>
    <w:rsid w:val="5E0538E2"/>
    <w:rsid w:val="5E7E51BB"/>
    <w:rsid w:val="5E9C6A75"/>
    <w:rsid w:val="5F42202E"/>
    <w:rsid w:val="600311D3"/>
    <w:rsid w:val="60162273"/>
    <w:rsid w:val="60433467"/>
    <w:rsid w:val="60A11825"/>
    <w:rsid w:val="60A25796"/>
    <w:rsid w:val="60B55F4E"/>
    <w:rsid w:val="60C4483F"/>
    <w:rsid w:val="60C7300E"/>
    <w:rsid w:val="60D51E65"/>
    <w:rsid w:val="62CD5A4A"/>
    <w:rsid w:val="630F1151"/>
    <w:rsid w:val="637305B8"/>
    <w:rsid w:val="638377E2"/>
    <w:rsid w:val="63A23BBE"/>
    <w:rsid w:val="63BF277B"/>
    <w:rsid w:val="63D47EBB"/>
    <w:rsid w:val="64366484"/>
    <w:rsid w:val="644B1F6F"/>
    <w:rsid w:val="649B018B"/>
    <w:rsid w:val="65492DAB"/>
    <w:rsid w:val="65D9341C"/>
    <w:rsid w:val="66583ECF"/>
    <w:rsid w:val="66892619"/>
    <w:rsid w:val="66AD0A25"/>
    <w:rsid w:val="676614BF"/>
    <w:rsid w:val="67882454"/>
    <w:rsid w:val="67A637B3"/>
    <w:rsid w:val="68807657"/>
    <w:rsid w:val="68B945D6"/>
    <w:rsid w:val="68BE31D4"/>
    <w:rsid w:val="69EE545D"/>
    <w:rsid w:val="6A4444B8"/>
    <w:rsid w:val="6B8951A0"/>
    <w:rsid w:val="6C7223BE"/>
    <w:rsid w:val="6D033D1D"/>
    <w:rsid w:val="6D3F3F51"/>
    <w:rsid w:val="6DC82B6C"/>
    <w:rsid w:val="6DCF0CD7"/>
    <w:rsid w:val="6DEA2AE4"/>
    <w:rsid w:val="6E3163FF"/>
    <w:rsid w:val="6EB946A3"/>
    <w:rsid w:val="6EEF67F3"/>
    <w:rsid w:val="6F015A1C"/>
    <w:rsid w:val="6F31104D"/>
    <w:rsid w:val="6F606512"/>
    <w:rsid w:val="6F7C761E"/>
    <w:rsid w:val="6F99645A"/>
    <w:rsid w:val="6FAE5062"/>
    <w:rsid w:val="6FB3357F"/>
    <w:rsid w:val="707455C4"/>
    <w:rsid w:val="70E40D05"/>
    <w:rsid w:val="715709C3"/>
    <w:rsid w:val="71C04F65"/>
    <w:rsid w:val="72F50C9E"/>
    <w:rsid w:val="737568B2"/>
    <w:rsid w:val="73910F82"/>
    <w:rsid w:val="746E4583"/>
    <w:rsid w:val="749A6D55"/>
    <w:rsid w:val="76594F7A"/>
    <w:rsid w:val="76CC6259"/>
    <w:rsid w:val="775F04B0"/>
    <w:rsid w:val="77782902"/>
    <w:rsid w:val="780577F7"/>
    <w:rsid w:val="7A043DFB"/>
    <w:rsid w:val="7A1D448F"/>
    <w:rsid w:val="7A2819ED"/>
    <w:rsid w:val="7AA90DF1"/>
    <w:rsid w:val="7AC00FC6"/>
    <w:rsid w:val="7AE23899"/>
    <w:rsid w:val="7B202564"/>
    <w:rsid w:val="7BC065DC"/>
    <w:rsid w:val="7BC87006"/>
    <w:rsid w:val="7BD80319"/>
    <w:rsid w:val="7BF633EA"/>
    <w:rsid w:val="7BF76A33"/>
    <w:rsid w:val="7CEE265B"/>
    <w:rsid w:val="7CF03133"/>
    <w:rsid w:val="7D153537"/>
    <w:rsid w:val="7D385D0A"/>
    <w:rsid w:val="7D9E1AEC"/>
    <w:rsid w:val="7DBD3E8F"/>
    <w:rsid w:val="7E164082"/>
    <w:rsid w:val="7E407D3C"/>
    <w:rsid w:val="7E46693F"/>
    <w:rsid w:val="7ECD5A5C"/>
    <w:rsid w:val="7EE83F8B"/>
    <w:rsid w:val="7F933489"/>
    <w:rsid w:val="7FAD212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7"/>
    <w:qFormat/>
    <w:uiPriority w:val="99"/>
    <w:pPr>
      <w:spacing w:beforeAutospacing="1" w:afterAutospacing="1"/>
      <w:jc w:val="left"/>
      <w:outlineLvl w:val="2"/>
    </w:pPr>
    <w:rPr>
      <w:rFonts w:ascii="宋体" w:hAnsi="宋体"/>
      <w:b/>
      <w:kern w:val="0"/>
      <w:sz w:val="27"/>
      <w:szCs w:val="27"/>
    </w:rPr>
  </w:style>
  <w:style w:type="paragraph" w:styleId="3">
    <w:name w:val="heading 4"/>
    <w:basedOn w:val="1"/>
    <w:next w:val="1"/>
    <w:link w:val="18"/>
    <w:qFormat/>
    <w:uiPriority w:val="99"/>
    <w:pPr>
      <w:keepNext/>
      <w:keepLines/>
      <w:spacing w:line="372" w:lineRule="auto"/>
      <w:outlineLvl w:val="3"/>
    </w:pPr>
    <w:rPr>
      <w:rFonts w:ascii="Arial" w:hAnsi="Arial" w:eastAsia="黑体"/>
      <w:b/>
      <w:sz w:val="28"/>
    </w:rPr>
  </w:style>
  <w:style w:type="paragraph" w:styleId="4">
    <w:name w:val="heading 5"/>
    <w:basedOn w:val="1"/>
    <w:next w:val="1"/>
    <w:link w:val="19"/>
    <w:qFormat/>
    <w:uiPriority w:val="99"/>
    <w:pPr>
      <w:keepNext/>
      <w:keepLines/>
      <w:spacing w:line="372" w:lineRule="auto"/>
      <w:outlineLvl w:val="4"/>
    </w:pPr>
    <w:rPr>
      <w:b/>
      <w:sz w:val="28"/>
    </w:rPr>
  </w:style>
  <w:style w:type="paragraph" w:styleId="5">
    <w:name w:val="heading 6"/>
    <w:basedOn w:val="1"/>
    <w:next w:val="1"/>
    <w:link w:val="20"/>
    <w:qFormat/>
    <w:uiPriority w:val="99"/>
    <w:pPr>
      <w:keepNext/>
      <w:keepLines/>
      <w:spacing w:line="317" w:lineRule="auto"/>
      <w:outlineLvl w:val="5"/>
    </w:pPr>
    <w:rPr>
      <w:rFonts w:ascii="Arial" w:hAnsi="Arial" w:eastAsia="黑体"/>
      <w:b/>
      <w:sz w:val="24"/>
    </w:rPr>
  </w:style>
  <w:style w:type="paragraph" w:styleId="6">
    <w:name w:val="heading 7"/>
    <w:basedOn w:val="1"/>
    <w:next w:val="1"/>
    <w:link w:val="21"/>
    <w:qFormat/>
    <w:uiPriority w:val="99"/>
    <w:pPr>
      <w:keepNext/>
      <w:keepLines/>
      <w:spacing w:line="317" w:lineRule="auto"/>
      <w:outlineLvl w:val="6"/>
    </w:pPr>
    <w:rPr>
      <w:b/>
      <w:sz w:val="24"/>
    </w:rPr>
  </w:style>
  <w:style w:type="character" w:default="1" w:styleId="12">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22"/>
    <w:qFormat/>
    <w:uiPriority w:val="99"/>
    <w:pPr>
      <w:jc w:val="left"/>
    </w:pPr>
  </w:style>
  <w:style w:type="paragraph" w:styleId="8">
    <w:name w:val="Date"/>
    <w:basedOn w:val="1"/>
    <w:next w:val="1"/>
    <w:link w:val="23"/>
    <w:qFormat/>
    <w:uiPriority w:val="99"/>
    <w:pPr>
      <w:ind w:left="100" w:leftChars="2500"/>
    </w:pPr>
  </w:style>
  <w:style w:type="paragraph" w:styleId="9">
    <w:name w:val="Balloon Text"/>
    <w:basedOn w:val="1"/>
    <w:link w:val="24"/>
    <w:qFormat/>
    <w:uiPriority w:val="99"/>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99"/>
    <w:rPr>
      <w:rFonts w:cs="Times New Roman"/>
    </w:rPr>
  </w:style>
  <w:style w:type="character" w:styleId="14">
    <w:name w:val="Hyperlink"/>
    <w:basedOn w:val="12"/>
    <w:qFormat/>
    <w:uiPriority w:val="99"/>
    <w:rPr>
      <w:rFonts w:cs="Times New Roman"/>
      <w:color w:val="0000FF"/>
      <w:u w:val="single"/>
    </w:rPr>
  </w:style>
  <w:style w:type="paragraph" w:customStyle="1" w:styleId="16">
    <w:name w:val="列出段落1"/>
    <w:basedOn w:val="1"/>
    <w:qFormat/>
    <w:uiPriority w:val="99"/>
    <w:pPr>
      <w:ind w:firstLine="420" w:firstLineChars="200"/>
    </w:pPr>
  </w:style>
  <w:style w:type="character" w:customStyle="1" w:styleId="17">
    <w:name w:val="标题 3 Char"/>
    <w:basedOn w:val="12"/>
    <w:link w:val="2"/>
    <w:semiHidden/>
    <w:qFormat/>
    <w:uiPriority w:val="9"/>
    <w:rPr>
      <w:b/>
      <w:bCs/>
      <w:sz w:val="32"/>
      <w:szCs w:val="32"/>
    </w:rPr>
  </w:style>
  <w:style w:type="character" w:customStyle="1" w:styleId="18">
    <w:name w:val="标题 4 Char"/>
    <w:basedOn w:val="12"/>
    <w:link w:val="3"/>
    <w:semiHidden/>
    <w:qFormat/>
    <w:uiPriority w:val="9"/>
    <w:rPr>
      <w:rFonts w:ascii="Cambria" w:hAnsi="Cambria" w:eastAsia="宋体" w:cs="黑体"/>
      <w:b/>
      <w:bCs/>
      <w:sz w:val="28"/>
      <w:szCs w:val="28"/>
    </w:rPr>
  </w:style>
  <w:style w:type="character" w:customStyle="1" w:styleId="19">
    <w:name w:val="标题 5 Char"/>
    <w:basedOn w:val="12"/>
    <w:link w:val="4"/>
    <w:semiHidden/>
    <w:qFormat/>
    <w:uiPriority w:val="9"/>
    <w:rPr>
      <w:b/>
      <w:bCs/>
      <w:sz w:val="28"/>
      <w:szCs w:val="28"/>
    </w:rPr>
  </w:style>
  <w:style w:type="character" w:customStyle="1" w:styleId="20">
    <w:name w:val="标题 6 Char"/>
    <w:basedOn w:val="12"/>
    <w:link w:val="5"/>
    <w:semiHidden/>
    <w:qFormat/>
    <w:uiPriority w:val="9"/>
    <w:rPr>
      <w:rFonts w:ascii="Cambria" w:hAnsi="Cambria" w:eastAsia="宋体" w:cs="黑体"/>
      <w:b/>
      <w:bCs/>
      <w:sz w:val="24"/>
      <w:szCs w:val="24"/>
    </w:rPr>
  </w:style>
  <w:style w:type="character" w:customStyle="1" w:styleId="21">
    <w:name w:val="标题 7 Char"/>
    <w:basedOn w:val="12"/>
    <w:link w:val="6"/>
    <w:semiHidden/>
    <w:qFormat/>
    <w:uiPriority w:val="9"/>
    <w:rPr>
      <w:b/>
      <w:bCs/>
      <w:sz w:val="24"/>
      <w:szCs w:val="24"/>
    </w:rPr>
  </w:style>
  <w:style w:type="character" w:customStyle="1" w:styleId="22">
    <w:name w:val="批注文字 Char"/>
    <w:basedOn w:val="12"/>
    <w:link w:val="7"/>
    <w:semiHidden/>
    <w:qFormat/>
    <w:uiPriority w:val="99"/>
    <w:rPr>
      <w:szCs w:val="24"/>
    </w:rPr>
  </w:style>
  <w:style w:type="character" w:customStyle="1" w:styleId="23">
    <w:name w:val="日期 Char"/>
    <w:basedOn w:val="12"/>
    <w:link w:val="8"/>
    <w:semiHidden/>
    <w:qFormat/>
    <w:uiPriority w:val="99"/>
    <w:rPr>
      <w:szCs w:val="24"/>
    </w:rPr>
  </w:style>
  <w:style w:type="character" w:customStyle="1" w:styleId="24">
    <w:name w:val="批注框文本 Char"/>
    <w:basedOn w:val="12"/>
    <w:link w:val="9"/>
    <w:semiHidden/>
    <w:qFormat/>
    <w:uiPriority w:val="99"/>
    <w:rPr>
      <w:sz w:val="16"/>
      <w:szCs w:val="16"/>
    </w:rPr>
  </w:style>
  <w:style w:type="character" w:customStyle="1" w:styleId="25">
    <w:name w:val="页脚 Char"/>
    <w:basedOn w:val="12"/>
    <w:link w:val="10"/>
    <w:qFormat/>
    <w:locked/>
    <w:uiPriority w:val="99"/>
    <w:rPr>
      <w:rFonts w:cs="Times New Roman"/>
      <w:kern w:val="2"/>
      <w:sz w:val="18"/>
      <w:szCs w:val="18"/>
    </w:rPr>
  </w:style>
  <w:style w:type="character" w:customStyle="1" w:styleId="26">
    <w:name w:val="页眉 Char"/>
    <w:basedOn w:val="12"/>
    <w:link w:val="11"/>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656</Words>
  <Characters>3744</Characters>
  <Lines>31</Lines>
  <Paragraphs>8</Paragraphs>
  <TotalTime>19</TotalTime>
  <ScaleCrop>false</ScaleCrop>
  <LinksUpToDate>false</LinksUpToDate>
  <CharactersWithSpaces>4392</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2022-07-22T09:19:00Z</dcterms:created>
  <dc:creator>微软用户</dc:creator>
  <cp:lastModifiedBy>HP2</cp:lastModifiedBy>
  <cp:lastPrinted>2020-07-03T01:20:00Z</cp:lastPrinted>
  <dcterms:modified xsi:type="dcterms:W3CDTF">2022-12-05T06:08:56Z</dcterms:modified>
  <dc:title>为了促进楼宇去化，促进航运产业集聚，发挥五大机构职能，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